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6368" w:type="dxa"/>
        <w:jc w:val="center"/>
        <w:tblLook w:val="01E0" w:firstRow="1" w:lastRow="1" w:firstColumn="1" w:lastColumn="1" w:noHBand="0" w:noVBand="0"/>
      </w:tblPr>
      <w:tblGrid>
        <w:gridCol w:w="3397"/>
        <w:gridCol w:w="2971"/>
      </w:tblGrid>
      <w:tr w:rsidR="002A4F1D" w:rsidRPr="0023747C" w:rsidTr="004D577F">
        <w:trPr>
          <w:jc w:val="center"/>
        </w:trPr>
        <w:tc>
          <w:tcPr>
            <w:tcW w:w="3397" w:type="dxa"/>
          </w:tcPr>
          <w:p w:rsidR="00E42A1D" w:rsidRDefault="00D05BB1">
            <w:pPr>
              <w:spacing w:line="340" w:lineRule="exact"/>
              <w:ind w:firstLine="284"/>
              <w:jc w:val="center"/>
            </w:pPr>
            <w:r>
              <w:t>MI</w:t>
            </w:r>
            <w:r w:rsidR="00FB6047">
              <w:t xml:space="preserve">NISTRY OF EDUCATION </w:t>
            </w:r>
          </w:p>
        </w:tc>
        <w:tc>
          <w:tcPr>
            <w:tcW w:w="2971" w:type="dxa"/>
          </w:tcPr>
          <w:p w:rsidR="00E42A1D" w:rsidRDefault="00FB6047">
            <w:pPr>
              <w:spacing w:line="340" w:lineRule="exact"/>
              <w:ind w:firstLine="284"/>
              <w:jc w:val="center"/>
            </w:pPr>
            <w:r>
              <w:t>MINISTRY OF</w:t>
            </w:r>
            <w:r w:rsidR="00D05BB1">
              <w:t xml:space="preserve"> DEFENCE</w:t>
            </w:r>
          </w:p>
        </w:tc>
      </w:tr>
      <w:tr w:rsidR="002A4F1D" w:rsidRPr="0023747C" w:rsidTr="004D577F">
        <w:trPr>
          <w:jc w:val="center"/>
        </w:trPr>
        <w:tc>
          <w:tcPr>
            <w:tcW w:w="6368" w:type="dxa"/>
            <w:gridSpan w:val="2"/>
          </w:tcPr>
          <w:p w:rsidR="00E42A1D" w:rsidRDefault="00D05BB1">
            <w:pPr>
              <w:spacing w:line="340" w:lineRule="exact"/>
              <w:ind w:firstLine="284"/>
              <w:jc w:val="center"/>
            </w:pPr>
            <w:r>
              <w:rPr>
                <w:b/>
              </w:rPr>
              <w:t>MILITARY MEDICAL UNIVERSITY</w:t>
            </w:r>
            <w:r>
              <w:rPr>
                <w:b/>
              </w:rPr>
              <w:br/>
              <w:t>=== *** ===</w:t>
            </w:r>
          </w:p>
        </w:tc>
      </w:tr>
    </w:tbl>
    <w:p w:rsidR="00103BA0" w:rsidRPr="0023747C" w:rsidRDefault="00103BA0" w:rsidP="005B0BA0">
      <w:pPr>
        <w:spacing w:line="340" w:lineRule="exact"/>
        <w:ind w:firstLine="284"/>
      </w:pPr>
    </w:p>
    <w:p w:rsidR="00FA1A29" w:rsidRDefault="00762962" w:rsidP="005B0BA0">
      <w:pPr>
        <w:spacing w:line="340" w:lineRule="exact"/>
        <w:ind w:firstLine="284"/>
      </w:pPr>
      <w:r w:rsidRPr="0023747C">
        <w:tab/>
      </w:r>
    </w:p>
    <w:p w:rsidR="004D577F" w:rsidRDefault="004D577F" w:rsidP="005B0BA0">
      <w:pPr>
        <w:spacing w:line="340" w:lineRule="exact"/>
        <w:ind w:firstLine="284"/>
      </w:pPr>
    </w:p>
    <w:p w:rsidR="004D577F" w:rsidRPr="0023747C" w:rsidRDefault="004D577F" w:rsidP="005B0BA0">
      <w:pPr>
        <w:spacing w:line="340" w:lineRule="exact"/>
        <w:ind w:firstLine="284"/>
      </w:pPr>
    </w:p>
    <w:p w:rsidR="00103BA0" w:rsidRPr="0023747C" w:rsidRDefault="0005618C" w:rsidP="005B0BA0">
      <w:pPr>
        <w:spacing w:line="340" w:lineRule="exact"/>
        <w:ind w:firstLine="284"/>
        <w:jc w:val="center"/>
      </w:pPr>
      <w:r>
        <w:rPr>
          <w:b/>
        </w:rPr>
        <w:t>NGUY</w:t>
      </w:r>
      <w:r w:rsidR="001111DE">
        <w:rPr>
          <w:b/>
        </w:rPr>
        <w:t>E</w:t>
      </w:r>
      <w:r>
        <w:rPr>
          <w:b/>
        </w:rPr>
        <w:t>N H</w:t>
      </w:r>
      <w:r w:rsidR="001111DE">
        <w:rPr>
          <w:b/>
        </w:rPr>
        <w:t>U</w:t>
      </w:r>
      <w:r>
        <w:rPr>
          <w:b/>
        </w:rPr>
        <w:t>U H</w:t>
      </w:r>
      <w:r w:rsidR="001111DE">
        <w:rPr>
          <w:b/>
        </w:rPr>
        <w:t>ONG CHUO</w:t>
      </w:r>
      <w:r>
        <w:rPr>
          <w:b/>
        </w:rPr>
        <w:t>NG</w:t>
      </w:r>
    </w:p>
    <w:p w:rsidR="00FA1A29" w:rsidRPr="0023747C" w:rsidRDefault="00FA1A29" w:rsidP="005B0BA0">
      <w:pPr>
        <w:spacing w:line="340" w:lineRule="exact"/>
        <w:ind w:firstLine="284"/>
      </w:pPr>
    </w:p>
    <w:p w:rsidR="00645C14" w:rsidRPr="0023747C" w:rsidRDefault="00645C14" w:rsidP="005B0BA0">
      <w:pPr>
        <w:spacing w:line="340" w:lineRule="exact"/>
        <w:ind w:firstLine="284"/>
      </w:pPr>
    </w:p>
    <w:p w:rsidR="0005618C" w:rsidRPr="00AD40C6" w:rsidRDefault="0005618C" w:rsidP="00AD40C6">
      <w:pPr>
        <w:spacing w:line="340" w:lineRule="exact"/>
        <w:ind w:firstLine="284"/>
        <w:jc w:val="center"/>
        <w:rPr>
          <w:rFonts w:eastAsia="Times New Roman"/>
          <w:sz w:val="18"/>
          <w:szCs w:val="18"/>
          <w:shd w:val="clear" w:color="auto" w:fill="auto"/>
        </w:rPr>
      </w:pPr>
      <w:r w:rsidRPr="00AD40C6">
        <w:rPr>
          <w:b/>
          <w:sz w:val="18"/>
          <w:szCs w:val="18"/>
        </w:rPr>
        <w:t>STU</w:t>
      </w:r>
      <w:r w:rsidR="00FB6047" w:rsidRPr="00AD40C6">
        <w:rPr>
          <w:b/>
          <w:sz w:val="18"/>
          <w:szCs w:val="18"/>
        </w:rPr>
        <w:t xml:space="preserve">DY OF LEFT ATRIAL MORPHOLOGICAL </w:t>
      </w:r>
      <w:r w:rsidRPr="00AD40C6">
        <w:rPr>
          <w:b/>
          <w:sz w:val="18"/>
          <w:szCs w:val="18"/>
        </w:rPr>
        <w:t>CHARACTERISTICS,</w:t>
      </w:r>
    </w:p>
    <w:p w:rsidR="00AD40C6" w:rsidRDefault="0005618C" w:rsidP="00FB6047">
      <w:pPr>
        <w:spacing w:line="340" w:lineRule="exact"/>
        <w:ind w:firstLine="284"/>
        <w:jc w:val="center"/>
        <w:rPr>
          <w:b/>
          <w:sz w:val="18"/>
          <w:szCs w:val="18"/>
        </w:rPr>
      </w:pPr>
      <w:r w:rsidRPr="00AD40C6">
        <w:rPr>
          <w:b/>
          <w:sz w:val="18"/>
          <w:szCs w:val="18"/>
        </w:rPr>
        <w:t xml:space="preserve">PLASMA </w:t>
      </w:r>
      <w:r w:rsidR="00D963CC" w:rsidRPr="00AD40C6">
        <w:rPr>
          <w:b/>
          <w:sz w:val="18"/>
          <w:szCs w:val="18"/>
        </w:rPr>
        <w:t xml:space="preserve">CONCENTRATIONS OF </w:t>
      </w:r>
    </w:p>
    <w:p w:rsidR="0005618C" w:rsidRPr="00AD40C6" w:rsidRDefault="0005618C" w:rsidP="00FB6047">
      <w:pPr>
        <w:spacing w:line="340" w:lineRule="exact"/>
        <w:ind w:firstLine="284"/>
        <w:jc w:val="center"/>
        <w:rPr>
          <w:rFonts w:eastAsia="Times New Roman"/>
          <w:sz w:val="18"/>
          <w:szCs w:val="18"/>
          <w:shd w:val="clear" w:color="auto" w:fill="auto"/>
        </w:rPr>
      </w:pPr>
      <w:bookmarkStart w:id="0" w:name="_GoBack"/>
      <w:bookmarkEnd w:id="0"/>
      <w:r w:rsidRPr="00AD40C6">
        <w:rPr>
          <w:b/>
          <w:sz w:val="18"/>
          <w:szCs w:val="18"/>
        </w:rPr>
        <w:t>MATRIX METALLOPROTEINASE-2, OSTEOPONTIN,</w:t>
      </w:r>
    </w:p>
    <w:p w:rsidR="00AB1463" w:rsidRPr="00AD40C6" w:rsidRDefault="0005618C" w:rsidP="00FB6047">
      <w:pPr>
        <w:spacing w:line="340" w:lineRule="exact"/>
        <w:ind w:firstLine="284"/>
        <w:jc w:val="center"/>
        <w:rPr>
          <w:rFonts w:eastAsia="Times New Roman"/>
          <w:b/>
          <w:sz w:val="18"/>
          <w:szCs w:val="18"/>
          <w:shd w:val="clear" w:color="auto" w:fill="auto"/>
        </w:rPr>
      </w:pPr>
      <w:r w:rsidRPr="00AD40C6">
        <w:rPr>
          <w:b/>
          <w:sz w:val="18"/>
          <w:szCs w:val="18"/>
        </w:rPr>
        <w:t>AND NT-</w:t>
      </w:r>
      <w:proofErr w:type="spellStart"/>
      <w:r w:rsidRPr="00AD40C6">
        <w:rPr>
          <w:b/>
          <w:sz w:val="18"/>
          <w:szCs w:val="18"/>
        </w:rPr>
        <w:t>proBNP</w:t>
      </w:r>
      <w:proofErr w:type="spellEnd"/>
      <w:r w:rsidRPr="00AD40C6">
        <w:rPr>
          <w:b/>
          <w:sz w:val="18"/>
          <w:szCs w:val="18"/>
        </w:rPr>
        <w:t xml:space="preserve"> IN PATIENTS WITH ATRIAL FIBRILLATION</w:t>
      </w:r>
    </w:p>
    <w:p w:rsidR="0005618C" w:rsidRPr="00FB6047" w:rsidRDefault="00D963CC" w:rsidP="00FB6047">
      <w:pPr>
        <w:spacing w:line="340" w:lineRule="exact"/>
        <w:ind w:firstLine="284"/>
        <w:jc w:val="center"/>
        <w:rPr>
          <w:rFonts w:eastAsia="Times New Roman"/>
          <w:sz w:val="20"/>
          <w:szCs w:val="20"/>
          <w:shd w:val="clear" w:color="auto" w:fill="auto"/>
        </w:rPr>
      </w:pPr>
      <w:r w:rsidRPr="00AD40C6">
        <w:rPr>
          <w:b/>
          <w:sz w:val="18"/>
          <w:szCs w:val="18"/>
        </w:rPr>
        <w:t>TREATED BY RADIOFREQUENCY ABLATION</w:t>
      </w:r>
    </w:p>
    <w:p w:rsidR="00A40BEA" w:rsidRDefault="00A40BEA" w:rsidP="005B0BA0">
      <w:pPr>
        <w:spacing w:line="340" w:lineRule="exact"/>
        <w:ind w:firstLine="284"/>
        <w:rPr>
          <w:lang w:val="pt-BR"/>
        </w:rPr>
      </w:pPr>
    </w:p>
    <w:p w:rsidR="004D577F" w:rsidRPr="0023747C" w:rsidRDefault="004D577F" w:rsidP="005B0BA0">
      <w:pPr>
        <w:spacing w:line="340" w:lineRule="exact"/>
        <w:ind w:firstLine="284"/>
        <w:rPr>
          <w:lang w:val="pt-BR"/>
        </w:rPr>
      </w:pPr>
    </w:p>
    <w:p w:rsidR="00820108" w:rsidRPr="0023747C" w:rsidRDefault="00FA1A29" w:rsidP="005B0BA0">
      <w:pPr>
        <w:spacing w:line="340" w:lineRule="exact"/>
        <w:ind w:firstLine="284"/>
        <w:jc w:val="center"/>
        <w:rPr>
          <w:b/>
          <w:bCs/>
          <w:lang w:val="vi-VN"/>
        </w:rPr>
      </w:pPr>
      <w:r>
        <w:rPr>
          <w:b/>
        </w:rPr>
        <w:t>Specialty: Internal Medicine (Cardiology)</w:t>
      </w:r>
    </w:p>
    <w:p w:rsidR="00820108" w:rsidRPr="0023747C" w:rsidRDefault="00820108" w:rsidP="005B0BA0">
      <w:pPr>
        <w:spacing w:line="340" w:lineRule="exact"/>
        <w:ind w:firstLine="284"/>
        <w:jc w:val="center"/>
        <w:rPr>
          <w:b/>
          <w:bCs/>
          <w:lang w:val="vi-VN"/>
        </w:rPr>
      </w:pPr>
      <w:r>
        <w:rPr>
          <w:b/>
        </w:rPr>
        <w:t>Code: 9 72 01 07</w:t>
      </w:r>
    </w:p>
    <w:p w:rsidR="00FA1A29" w:rsidRPr="0023747C" w:rsidRDefault="00FA1A29" w:rsidP="005B0BA0">
      <w:pPr>
        <w:spacing w:line="340" w:lineRule="exact"/>
        <w:ind w:firstLine="284"/>
        <w:rPr>
          <w:lang w:val="vi-VN"/>
        </w:rPr>
      </w:pPr>
    </w:p>
    <w:p w:rsidR="003D46D5" w:rsidRPr="0023747C" w:rsidRDefault="00BD7440" w:rsidP="005B0BA0">
      <w:pPr>
        <w:spacing w:line="340" w:lineRule="exact"/>
        <w:ind w:firstLine="284"/>
        <w:rPr>
          <w:lang w:val="vi-VN"/>
        </w:rPr>
      </w:pPr>
      <w:r w:rsidRPr="0023747C">
        <w:rPr>
          <w:lang w:val="vi-VN"/>
        </w:rPr>
        <w:tab/>
      </w:r>
    </w:p>
    <w:p w:rsidR="00727E06" w:rsidRPr="0023747C" w:rsidRDefault="006C1CA5" w:rsidP="005B0BA0">
      <w:pPr>
        <w:spacing w:line="340" w:lineRule="exact"/>
        <w:ind w:firstLine="284"/>
        <w:jc w:val="center"/>
        <w:rPr>
          <w:b/>
          <w:bCs/>
          <w:lang w:val="vi-VN"/>
        </w:rPr>
      </w:pPr>
      <w:r>
        <w:rPr>
          <w:b/>
        </w:rPr>
        <w:t>ABSTRACT OF MEDICAL DOCTORAL DISSERTATION</w:t>
      </w:r>
    </w:p>
    <w:p w:rsidR="00805D0F" w:rsidRPr="0023747C" w:rsidRDefault="00805D0F" w:rsidP="005B0BA0">
      <w:pPr>
        <w:spacing w:line="340" w:lineRule="exact"/>
        <w:ind w:firstLine="284"/>
        <w:rPr>
          <w:lang w:val="vi-VN"/>
        </w:rPr>
      </w:pPr>
    </w:p>
    <w:p w:rsidR="00645C14" w:rsidRPr="004D577F" w:rsidRDefault="00645C14" w:rsidP="005B0BA0">
      <w:pPr>
        <w:spacing w:line="340" w:lineRule="exact"/>
        <w:ind w:firstLine="284"/>
        <w:rPr>
          <w:lang w:val="en-GB"/>
        </w:rPr>
      </w:pPr>
    </w:p>
    <w:p w:rsidR="00645C14" w:rsidRPr="00F47B99" w:rsidRDefault="00645C14" w:rsidP="005B0BA0">
      <w:pPr>
        <w:spacing w:line="340" w:lineRule="exact"/>
        <w:ind w:firstLine="284"/>
        <w:rPr>
          <w:lang w:val="en-GB"/>
        </w:rPr>
      </w:pPr>
    </w:p>
    <w:p w:rsidR="00FA1A29" w:rsidRPr="0023747C" w:rsidRDefault="00FA1A29" w:rsidP="005B0BA0">
      <w:pPr>
        <w:spacing w:line="340" w:lineRule="exact"/>
        <w:ind w:firstLine="284"/>
        <w:rPr>
          <w:lang w:val="vi-VN"/>
        </w:rPr>
      </w:pPr>
    </w:p>
    <w:p w:rsidR="00F75920" w:rsidRPr="0005618C" w:rsidRDefault="00103BA0" w:rsidP="005B0BA0">
      <w:pPr>
        <w:spacing w:line="340" w:lineRule="exact"/>
        <w:ind w:firstLine="284"/>
        <w:jc w:val="center"/>
        <w:rPr>
          <w:b/>
          <w:bCs/>
          <w:lang w:val="en-GB"/>
        </w:rPr>
        <w:sectPr w:rsidR="00F75920" w:rsidRPr="0005618C" w:rsidSect="00C71FFC">
          <w:headerReference w:type="even" r:id="rId8"/>
          <w:headerReference w:type="default" r:id="rId9"/>
          <w:headerReference w:type="first" r:id="rId10"/>
          <w:pgSz w:w="8420" w:h="11907" w:orient="landscape" w:code="9"/>
          <w:pgMar w:top="1134" w:right="1134" w:bottom="1134" w:left="1134" w:header="720" w:footer="720" w:gutter="0"/>
          <w:pgBorders w:display="firstPage">
            <w:top w:val="thickThinSmallGap" w:sz="24" w:space="1" w:color="auto"/>
            <w:left w:val="thickThinSmallGap" w:sz="24" w:space="4" w:color="auto"/>
            <w:bottom w:val="thinThickSmallGap" w:sz="24" w:space="1" w:color="auto"/>
            <w:right w:val="thinThickSmallGap" w:sz="24" w:space="4" w:color="auto"/>
          </w:pgBorders>
          <w:cols w:space="720"/>
          <w:docGrid w:linePitch="360"/>
        </w:sectPr>
      </w:pPr>
      <w:r>
        <w:rPr>
          <w:b/>
        </w:rPr>
        <w:t>Hanoi - 2026</w:t>
      </w:r>
    </w:p>
    <w:p w:rsidR="006C04C7" w:rsidRPr="0023747C" w:rsidRDefault="00F55346" w:rsidP="005B0BA0">
      <w:pPr>
        <w:spacing w:line="340" w:lineRule="exact"/>
        <w:ind w:firstLine="284"/>
        <w:jc w:val="center"/>
        <w:rPr>
          <w:b/>
          <w:bCs/>
          <w:lang w:val="vi-VN"/>
        </w:rPr>
      </w:pPr>
      <w:r>
        <w:rPr>
          <w:b/>
        </w:rPr>
        <w:lastRenderedPageBreak/>
        <w:t>COMPLETED AT</w:t>
      </w:r>
    </w:p>
    <w:p w:rsidR="00FA1A29" w:rsidRPr="0023747C" w:rsidRDefault="00FA1A29" w:rsidP="005B0BA0">
      <w:pPr>
        <w:spacing w:line="340" w:lineRule="exact"/>
        <w:ind w:firstLine="284"/>
        <w:jc w:val="center"/>
        <w:rPr>
          <w:rFonts w:eastAsia="Times New Roman"/>
          <w:b/>
          <w:bCs/>
          <w:lang w:val="vi-VN"/>
        </w:rPr>
      </w:pPr>
      <w:r>
        <w:rPr>
          <w:b/>
        </w:rPr>
        <w:t>MILITARY MEDICAL UNIVERSITY</w:t>
      </w:r>
    </w:p>
    <w:p w:rsidR="008824D1" w:rsidRPr="0023747C" w:rsidRDefault="008824D1" w:rsidP="005B0BA0">
      <w:pPr>
        <w:spacing w:line="340" w:lineRule="exact"/>
        <w:ind w:firstLine="284"/>
        <w:rPr>
          <w:lang w:val="vi-VN"/>
        </w:rPr>
      </w:pPr>
    </w:p>
    <w:p w:rsidR="00FA1A29" w:rsidRPr="0023747C" w:rsidRDefault="00FA1A29" w:rsidP="005B0BA0">
      <w:pPr>
        <w:spacing w:line="340" w:lineRule="exact"/>
        <w:ind w:firstLine="284"/>
        <w:rPr>
          <w:lang w:val="vi-VN"/>
        </w:rPr>
      </w:pPr>
    </w:p>
    <w:p w:rsidR="00FA1A29" w:rsidRPr="0023747C" w:rsidRDefault="00FA1A29" w:rsidP="005B0BA0">
      <w:pPr>
        <w:spacing w:line="340" w:lineRule="exact"/>
        <w:ind w:firstLine="284"/>
        <w:rPr>
          <w:lang w:val="vi-VN"/>
        </w:rPr>
      </w:pPr>
    </w:p>
    <w:p w:rsidR="00FA1A29" w:rsidRPr="0023747C" w:rsidRDefault="00FA1A29" w:rsidP="005B0BA0">
      <w:pPr>
        <w:spacing w:line="340" w:lineRule="exact"/>
        <w:ind w:firstLine="284"/>
        <w:rPr>
          <w:lang w:val="vi-VN"/>
        </w:rPr>
      </w:pPr>
    </w:p>
    <w:p w:rsidR="00FA1A29" w:rsidRPr="0023747C" w:rsidRDefault="00FA1A29" w:rsidP="005B0BA0">
      <w:pPr>
        <w:spacing w:line="340" w:lineRule="exact"/>
        <w:ind w:firstLine="284"/>
        <w:rPr>
          <w:lang w:val="vi-VN"/>
        </w:rPr>
      </w:pPr>
    </w:p>
    <w:p w:rsidR="00DF7863" w:rsidRPr="0023747C" w:rsidRDefault="00DF7863" w:rsidP="005B0BA0">
      <w:pPr>
        <w:spacing w:line="340" w:lineRule="exact"/>
        <w:ind w:firstLine="284"/>
        <w:rPr>
          <w:lang w:val="vi-VN"/>
        </w:rPr>
      </w:pPr>
      <w:r>
        <w:t>Scientific Supervisors:</w:t>
      </w:r>
    </w:p>
    <w:p w:rsidR="0005618C" w:rsidRPr="0005618C" w:rsidRDefault="004D577F" w:rsidP="005B0BA0">
      <w:pPr>
        <w:spacing w:line="340" w:lineRule="exact"/>
        <w:ind w:firstLine="284"/>
        <w:rPr>
          <w:b/>
          <w:bCs/>
          <w:lang w:val="vi-VN"/>
        </w:rPr>
      </w:pPr>
      <w:r>
        <w:rPr>
          <w:b/>
        </w:rPr>
        <w:t xml:space="preserve">1. Assoc. Prof. Luong Cong </w:t>
      </w:r>
      <w:proofErr w:type="spellStart"/>
      <w:r>
        <w:rPr>
          <w:b/>
        </w:rPr>
        <w:t>Thuc</w:t>
      </w:r>
      <w:proofErr w:type="spellEnd"/>
      <w:r>
        <w:rPr>
          <w:b/>
        </w:rPr>
        <w:t>, MD, PhD</w:t>
      </w:r>
    </w:p>
    <w:p w:rsidR="00347A37" w:rsidRPr="0023747C" w:rsidRDefault="0005618C" w:rsidP="005B0BA0">
      <w:pPr>
        <w:spacing w:line="340" w:lineRule="exact"/>
        <w:ind w:firstLine="284"/>
        <w:rPr>
          <w:lang w:val="vi-VN"/>
        </w:rPr>
      </w:pPr>
      <w:r>
        <w:rPr>
          <w:b/>
        </w:rPr>
        <w:t xml:space="preserve">2. Pham Tran </w:t>
      </w:r>
      <w:proofErr w:type="spellStart"/>
      <w:r>
        <w:rPr>
          <w:b/>
        </w:rPr>
        <w:t>Linh</w:t>
      </w:r>
      <w:proofErr w:type="spellEnd"/>
      <w:r>
        <w:rPr>
          <w:b/>
        </w:rPr>
        <w:t>, MD, PhD</w:t>
      </w:r>
    </w:p>
    <w:p w:rsidR="00FA1A29" w:rsidRPr="0023747C" w:rsidRDefault="00FA1A29" w:rsidP="005B0BA0">
      <w:pPr>
        <w:spacing w:line="340" w:lineRule="exact"/>
        <w:ind w:firstLine="284"/>
        <w:rPr>
          <w:lang w:val="vi-VN"/>
        </w:rPr>
      </w:pPr>
    </w:p>
    <w:p w:rsidR="00B72535" w:rsidRPr="0023747C" w:rsidRDefault="00B72535" w:rsidP="005B0BA0">
      <w:pPr>
        <w:spacing w:line="340" w:lineRule="exact"/>
        <w:ind w:firstLine="284"/>
        <w:rPr>
          <w:lang w:val="vi-VN"/>
        </w:rPr>
      </w:pPr>
      <w:r>
        <w:t>Reviewer 1:</w:t>
      </w:r>
    </w:p>
    <w:p w:rsidR="00011883" w:rsidRPr="0023747C" w:rsidRDefault="00B72535" w:rsidP="005B0BA0">
      <w:pPr>
        <w:spacing w:line="340" w:lineRule="exact"/>
        <w:ind w:firstLine="284"/>
        <w:rPr>
          <w:lang w:val="vi-VN"/>
        </w:rPr>
      </w:pPr>
      <w:r>
        <w:t>Reviewer 2:</w:t>
      </w:r>
    </w:p>
    <w:p w:rsidR="00B72535" w:rsidRPr="0023747C" w:rsidRDefault="00B72535" w:rsidP="005B0BA0">
      <w:pPr>
        <w:spacing w:line="340" w:lineRule="exact"/>
        <w:ind w:firstLine="284"/>
        <w:rPr>
          <w:lang w:val="vi-VN"/>
        </w:rPr>
      </w:pPr>
      <w:r>
        <w:t>Reviewer 3:</w:t>
      </w:r>
    </w:p>
    <w:p w:rsidR="00314EDF" w:rsidRPr="0023747C" w:rsidRDefault="00314EDF" w:rsidP="005B0BA0">
      <w:pPr>
        <w:spacing w:line="340" w:lineRule="exact"/>
        <w:ind w:firstLine="284"/>
        <w:rPr>
          <w:lang w:val="vi-VN"/>
        </w:rPr>
      </w:pPr>
    </w:p>
    <w:p w:rsidR="00FA1A29" w:rsidRPr="0023747C" w:rsidRDefault="00FA1A29" w:rsidP="005B0BA0">
      <w:pPr>
        <w:spacing w:line="340" w:lineRule="exact"/>
        <w:ind w:firstLine="284"/>
        <w:rPr>
          <w:lang w:val="vi-VN"/>
        </w:rPr>
      </w:pPr>
    </w:p>
    <w:p w:rsidR="00004D33" w:rsidRPr="0023747C" w:rsidRDefault="006C04C7" w:rsidP="005B0BA0">
      <w:pPr>
        <w:spacing w:line="340" w:lineRule="exact"/>
        <w:ind w:firstLine="284"/>
        <w:jc w:val="center"/>
        <w:rPr>
          <w:lang w:val="vi-VN"/>
        </w:rPr>
      </w:pPr>
      <w:r>
        <w:t>The dissertation will be defended before the University-level Dissertation Examination Committee at</w:t>
      </w:r>
    </w:p>
    <w:p w:rsidR="006C04C7" w:rsidRPr="0023747C" w:rsidRDefault="006C04C7" w:rsidP="005B0BA0">
      <w:pPr>
        <w:spacing w:line="340" w:lineRule="exact"/>
        <w:ind w:firstLine="284"/>
        <w:jc w:val="center"/>
        <w:rPr>
          <w:lang w:val="vi-VN"/>
        </w:rPr>
      </w:pPr>
      <w:r>
        <w:t>Military Medical University at ... o'clock, on ... ... 2026</w:t>
      </w:r>
    </w:p>
    <w:p w:rsidR="006C04C7" w:rsidRPr="0023747C" w:rsidRDefault="006C04C7" w:rsidP="005B0BA0">
      <w:pPr>
        <w:spacing w:line="340" w:lineRule="exact"/>
        <w:ind w:firstLine="284"/>
        <w:rPr>
          <w:lang w:val="vi-VN"/>
        </w:rPr>
      </w:pPr>
    </w:p>
    <w:p w:rsidR="006C04C7" w:rsidRPr="0023747C" w:rsidRDefault="006C04C7" w:rsidP="005B0BA0">
      <w:pPr>
        <w:spacing w:line="340" w:lineRule="exact"/>
        <w:ind w:firstLine="284"/>
        <w:rPr>
          <w:lang w:val="vi-VN"/>
        </w:rPr>
      </w:pPr>
    </w:p>
    <w:p w:rsidR="006C04C7" w:rsidRPr="0023747C" w:rsidRDefault="006C04C7" w:rsidP="005B0BA0">
      <w:pPr>
        <w:spacing w:line="340" w:lineRule="exact"/>
        <w:ind w:firstLine="284"/>
        <w:rPr>
          <w:lang w:val="vi-VN"/>
        </w:rPr>
      </w:pPr>
    </w:p>
    <w:p w:rsidR="006C04C7" w:rsidRPr="0023747C" w:rsidRDefault="006C04C7" w:rsidP="005B0BA0">
      <w:pPr>
        <w:spacing w:line="340" w:lineRule="exact"/>
        <w:ind w:firstLine="284"/>
        <w:rPr>
          <w:lang w:val="vi-VN"/>
        </w:rPr>
      </w:pPr>
    </w:p>
    <w:p w:rsidR="00EB0436" w:rsidRDefault="00EB0436" w:rsidP="005B0BA0">
      <w:pPr>
        <w:spacing w:line="340" w:lineRule="exact"/>
        <w:ind w:firstLine="284"/>
        <w:rPr>
          <w:lang w:val="en-GB"/>
        </w:rPr>
      </w:pPr>
    </w:p>
    <w:p w:rsidR="004D577F" w:rsidRPr="004D577F" w:rsidRDefault="004D577F" w:rsidP="005B0BA0">
      <w:pPr>
        <w:spacing w:line="340" w:lineRule="exact"/>
        <w:ind w:firstLine="284"/>
        <w:rPr>
          <w:lang w:val="en-GB"/>
        </w:rPr>
      </w:pPr>
    </w:p>
    <w:p w:rsidR="006C04C7" w:rsidRPr="0023747C" w:rsidRDefault="006C04C7" w:rsidP="005B0BA0">
      <w:pPr>
        <w:spacing w:line="340" w:lineRule="exact"/>
        <w:ind w:firstLine="284"/>
        <w:rPr>
          <w:lang w:val="vi-VN"/>
        </w:rPr>
      </w:pPr>
      <w:r>
        <w:t>The dissertation can be consulted at:</w:t>
      </w:r>
    </w:p>
    <w:p w:rsidR="006C04C7" w:rsidRPr="0023747C" w:rsidRDefault="006C04C7" w:rsidP="005B0BA0">
      <w:pPr>
        <w:spacing w:line="340" w:lineRule="exact"/>
        <w:ind w:firstLine="284"/>
        <w:rPr>
          <w:b/>
          <w:lang w:val="vi-VN"/>
        </w:rPr>
      </w:pPr>
      <w:r>
        <w:rPr>
          <w:b/>
        </w:rPr>
        <w:t>1. National Library of Vietnam</w:t>
      </w:r>
    </w:p>
    <w:p w:rsidR="006C04C7" w:rsidRPr="0023747C" w:rsidRDefault="006C04C7" w:rsidP="005B0BA0">
      <w:pPr>
        <w:spacing w:line="340" w:lineRule="exact"/>
        <w:ind w:firstLine="284"/>
        <w:rPr>
          <w:b/>
          <w:lang w:val="vi-VN"/>
        </w:rPr>
      </w:pPr>
      <w:r>
        <w:rPr>
          <w:b/>
        </w:rPr>
        <w:t>2. Library of Military Medical University</w:t>
      </w:r>
    </w:p>
    <w:p w:rsidR="00C62866" w:rsidRPr="004D577F" w:rsidRDefault="00C62866" w:rsidP="005B0BA0">
      <w:pPr>
        <w:spacing w:line="340" w:lineRule="exact"/>
        <w:ind w:firstLine="284"/>
        <w:rPr>
          <w:lang w:val="en-GB"/>
        </w:rPr>
        <w:sectPr w:rsidR="00C62866" w:rsidRPr="004D577F" w:rsidSect="00A12639">
          <w:headerReference w:type="default" r:id="rId11"/>
          <w:pgSz w:w="8420" w:h="11907" w:orient="landscape" w:code="9"/>
          <w:pgMar w:top="1134" w:right="1134" w:bottom="1134" w:left="1134" w:header="567" w:footer="567" w:gutter="0"/>
          <w:pgNumType w:start="1"/>
          <w:cols w:space="720"/>
          <w:docGrid w:linePitch="360"/>
        </w:sectPr>
      </w:pPr>
    </w:p>
    <w:p w:rsidR="0005618C" w:rsidRDefault="0005618C" w:rsidP="005B0BA0">
      <w:pPr>
        <w:pStyle w:val="Title"/>
        <w:tabs>
          <w:tab w:val="clear" w:pos="0"/>
          <w:tab w:val="clear" w:pos="357"/>
          <w:tab w:val="clear" w:pos="459"/>
          <w:tab w:val="clear" w:pos="567"/>
        </w:tabs>
        <w:ind w:firstLine="284"/>
        <w:rPr>
          <w:lang w:val="vi-VN"/>
        </w:rPr>
      </w:pPr>
    </w:p>
    <w:p w:rsidR="00091180" w:rsidRPr="0023747C" w:rsidRDefault="00820108" w:rsidP="005B0BA0">
      <w:pPr>
        <w:pStyle w:val="Title"/>
        <w:tabs>
          <w:tab w:val="clear" w:pos="0"/>
          <w:tab w:val="clear" w:pos="357"/>
          <w:tab w:val="clear" w:pos="459"/>
          <w:tab w:val="clear" w:pos="567"/>
        </w:tabs>
        <w:ind w:firstLine="284"/>
        <w:rPr>
          <w:lang w:val="vi-VN"/>
        </w:rPr>
      </w:pPr>
      <w:r>
        <w:t>INTRODUCTION</w:t>
      </w:r>
    </w:p>
    <w:p w:rsidR="001111DE" w:rsidRPr="001111DE" w:rsidRDefault="001111DE" w:rsidP="001111DE">
      <w:pPr>
        <w:spacing w:after="80"/>
        <w:ind w:firstLine="425"/>
        <w:rPr>
          <w:rFonts w:eastAsia="Times New Roman"/>
          <w:shd w:val="clear" w:color="auto" w:fill="auto"/>
        </w:rPr>
      </w:pPr>
      <w:r w:rsidRPr="001111DE">
        <w:rPr>
          <w:rFonts w:eastAsia="Times New Roman"/>
          <w:shd w:val="clear" w:color="auto" w:fill="auto"/>
        </w:rPr>
        <w:t>Atrial fibrillation (AF) is the most common arrhythmia encountered in cardiovascular practice, and its prevalence increases with age and comorbid disease. AF is associated with increased risks of stroke, heart failure, hospitalization, mortality, and impaired quality of life; recent guidelines estimate that AF affects approximately 2-4% of the adult population.</w:t>
      </w:r>
    </w:p>
    <w:p w:rsidR="001111DE" w:rsidRPr="001111DE" w:rsidRDefault="001111DE" w:rsidP="001111DE">
      <w:pPr>
        <w:spacing w:after="80"/>
        <w:ind w:firstLine="425"/>
        <w:rPr>
          <w:rFonts w:eastAsia="Times New Roman"/>
          <w:shd w:val="clear" w:color="auto" w:fill="auto"/>
        </w:rPr>
      </w:pPr>
      <w:r w:rsidRPr="001111DE">
        <w:rPr>
          <w:rFonts w:eastAsia="Times New Roman"/>
          <w:shd w:val="clear" w:color="auto" w:fill="auto"/>
        </w:rPr>
        <w:t>Contemporary AF management aims at comprehensive care, including risk-factor control, thromboembolic prevention, symptom control, and optimization of comorbid conditions. Radiofrequency catheter ablation (RFA) for AF, founded on electrical pulmonary vein isolation (PVI), has assumed an increasingly important role in patients who remain symptomatic or have a high AF burden.</w:t>
      </w:r>
    </w:p>
    <w:p w:rsidR="001111DE" w:rsidRPr="001111DE" w:rsidRDefault="001111DE" w:rsidP="001111DE">
      <w:pPr>
        <w:spacing w:after="80"/>
        <w:ind w:firstLine="425"/>
        <w:rPr>
          <w:rFonts w:eastAsia="Times New Roman"/>
          <w:shd w:val="clear" w:color="auto" w:fill="auto"/>
        </w:rPr>
      </w:pPr>
      <w:r w:rsidRPr="001111DE">
        <w:rPr>
          <w:rFonts w:eastAsia="Times New Roman"/>
          <w:shd w:val="clear" w:color="auto" w:fill="auto"/>
        </w:rPr>
        <w:t>Although RFA reduces AF burden and improves symptoms, post-procedural recurrence remains common, especially in persistent AF. The mechanisms of recurrence are closely related to the left atrial substrate: atrial dilatation, mechanical dysfunction, altered pulmonary vein anatomy, interstitial fibrosis, and heterogeneous electrical conduction.</w:t>
      </w:r>
    </w:p>
    <w:p w:rsidR="001111DE" w:rsidRPr="001111DE" w:rsidRDefault="001111DE" w:rsidP="001111DE">
      <w:pPr>
        <w:spacing w:after="80"/>
        <w:ind w:firstLine="425"/>
        <w:rPr>
          <w:rFonts w:eastAsia="Times New Roman"/>
          <w:shd w:val="clear" w:color="auto" w:fill="auto"/>
        </w:rPr>
      </w:pPr>
      <w:r w:rsidRPr="001111DE">
        <w:rPr>
          <w:rFonts w:eastAsia="Times New Roman"/>
          <w:shd w:val="clear" w:color="auto" w:fill="auto"/>
        </w:rPr>
        <w:t>In addition to left atrial morphology assessed by echocardiography and computed tomography, biomarkers may reflect the biological activity of the atrial substrate. NT-</w:t>
      </w:r>
      <w:proofErr w:type="spellStart"/>
      <w:r w:rsidRPr="001111DE">
        <w:rPr>
          <w:rFonts w:eastAsia="Times New Roman"/>
          <w:shd w:val="clear" w:color="auto" w:fill="auto"/>
        </w:rPr>
        <w:t>proBNP</w:t>
      </w:r>
      <w:proofErr w:type="spellEnd"/>
      <w:r w:rsidRPr="001111DE">
        <w:rPr>
          <w:rFonts w:eastAsia="Times New Roman"/>
          <w:shd w:val="clear" w:color="auto" w:fill="auto"/>
        </w:rPr>
        <w:t xml:space="preserve"> indicates myocardial wall stretch and hemodynamic stress; MMP-2 is related to extracellular-matrix remodeling; and OPN is associated with inflammation, fibrosis, and fibroblast activation. </w:t>
      </w:r>
    </w:p>
    <w:p w:rsidR="006A32F2" w:rsidRDefault="006A32F2" w:rsidP="005B0BA0">
      <w:pPr>
        <w:spacing w:line="340" w:lineRule="exact"/>
        <w:ind w:firstLine="284"/>
        <w:rPr>
          <w:bCs/>
          <w:lang w:val="vi-VN"/>
        </w:rPr>
      </w:pPr>
      <w:r>
        <w:t>In Vietnam, data on the association between left atrial morphology, biomarkers (NT-</w:t>
      </w:r>
      <w:proofErr w:type="spellStart"/>
      <w:r>
        <w:t>proBNP</w:t>
      </w:r>
      <w:proofErr w:type="spellEnd"/>
      <w:r>
        <w:t>, MMP-2, OPN), and treatment outcomes after AF ablation remain limited.</w:t>
      </w:r>
    </w:p>
    <w:p w:rsidR="00E61560" w:rsidRPr="0023747C" w:rsidRDefault="00250214" w:rsidP="005B0BA0">
      <w:pPr>
        <w:spacing w:line="340" w:lineRule="exact"/>
        <w:ind w:firstLine="284"/>
        <w:rPr>
          <w:lang w:val="vi-VN"/>
        </w:rPr>
      </w:pPr>
      <w:r>
        <w:rPr>
          <w:b/>
        </w:rPr>
        <w:t>1. Objectives of the study</w:t>
      </w:r>
    </w:p>
    <w:p w:rsidR="006A32F2" w:rsidRDefault="006A32F2" w:rsidP="005B0BA0">
      <w:pPr>
        <w:spacing w:line="340" w:lineRule="exact"/>
        <w:ind w:firstLine="284"/>
        <w:rPr>
          <w:i/>
          <w:iCs/>
          <w:spacing w:val="-2"/>
          <w:lang w:val="vi-VN"/>
        </w:rPr>
      </w:pPr>
      <w:r>
        <w:rPr>
          <w:i/>
        </w:rPr>
        <w:lastRenderedPageBreak/>
        <w:t xml:space="preserve">1.1. To investigate left atrial morphology, plasma Matrix Metalloproteinase-2 (MMP-2), </w:t>
      </w:r>
      <w:proofErr w:type="spellStart"/>
      <w:r>
        <w:rPr>
          <w:i/>
        </w:rPr>
        <w:t>Osteopontin</w:t>
      </w:r>
      <w:proofErr w:type="spellEnd"/>
      <w:r>
        <w:rPr>
          <w:i/>
        </w:rPr>
        <w:t xml:space="preserve"> (OPN), and NT-</w:t>
      </w:r>
      <w:proofErr w:type="spellStart"/>
      <w:r>
        <w:rPr>
          <w:i/>
        </w:rPr>
        <w:t>proBNP</w:t>
      </w:r>
      <w:proofErr w:type="spellEnd"/>
      <w:r>
        <w:rPr>
          <w:i/>
        </w:rPr>
        <w:t xml:space="preserve"> concentrations, and their associations with clinical characteristics in patients with atrial fibrillation.</w:t>
      </w:r>
    </w:p>
    <w:p w:rsidR="006A32F2" w:rsidRDefault="006A32F2" w:rsidP="005B0BA0">
      <w:pPr>
        <w:spacing w:line="340" w:lineRule="exact"/>
        <w:ind w:firstLine="284"/>
        <w:jc w:val="left"/>
        <w:rPr>
          <w:i/>
          <w:iCs/>
          <w:spacing w:val="-2"/>
          <w:lang w:val="vi-VN"/>
        </w:rPr>
      </w:pPr>
      <w:r>
        <w:rPr>
          <w:i/>
        </w:rPr>
        <w:t>1.2. To evaluate the outcomes of radiofrequency ablation for atrial fibrillation and their associations with left atrial morphology and plasma MMP-2, OPN, and NT-</w:t>
      </w:r>
      <w:proofErr w:type="spellStart"/>
      <w:r>
        <w:rPr>
          <w:i/>
        </w:rPr>
        <w:t>proBNP</w:t>
      </w:r>
      <w:proofErr w:type="spellEnd"/>
      <w:r>
        <w:rPr>
          <w:i/>
        </w:rPr>
        <w:t xml:space="preserve"> concentrations.</w:t>
      </w:r>
    </w:p>
    <w:p w:rsidR="00C2219B" w:rsidRPr="0023747C" w:rsidRDefault="00250214" w:rsidP="005B0BA0">
      <w:pPr>
        <w:spacing w:line="340" w:lineRule="exact"/>
        <w:ind w:firstLine="284"/>
        <w:jc w:val="left"/>
        <w:rPr>
          <w:rFonts w:eastAsia="Times New Roman"/>
          <w:b/>
          <w:bCs/>
          <w:color w:val="000000" w:themeColor="text1"/>
          <w:lang w:val="vi-VN"/>
        </w:rPr>
      </w:pPr>
      <w:r>
        <w:rPr>
          <w:b/>
        </w:rPr>
        <w:t>2. Novel contributions of the dissertation</w:t>
      </w:r>
    </w:p>
    <w:p w:rsidR="001111DE" w:rsidRPr="001111DE" w:rsidRDefault="001111DE" w:rsidP="001111DE">
      <w:pPr>
        <w:spacing w:after="80"/>
        <w:ind w:firstLine="425"/>
        <w:rPr>
          <w:rFonts w:eastAsia="Times New Roman"/>
          <w:shd w:val="clear" w:color="auto" w:fill="auto"/>
        </w:rPr>
      </w:pPr>
      <w:r w:rsidRPr="001111DE">
        <w:rPr>
          <w:rFonts w:eastAsia="Times New Roman"/>
          <w:shd w:val="clear" w:color="auto" w:fill="auto"/>
        </w:rPr>
        <w:t>The study concurrently assessed left atrial morphology by echocardiography and computed tomography, together with plasma quantification of NT-</w:t>
      </w:r>
      <w:proofErr w:type="spellStart"/>
      <w:r w:rsidRPr="001111DE">
        <w:rPr>
          <w:rFonts w:eastAsia="Times New Roman"/>
          <w:shd w:val="clear" w:color="auto" w:fill="auto"/>
        </w:rPr>
        <w:t>proBNP</w:t>
      </w:r>
      <w:proofErr w:type="spellEnd"/>
      <w:r w:rsidRPr="001111DE">
        <w:rPr>
          <w:rFonts w:eastAsia="Times New Roman"/>
          <w:shd w:val="clear" w:color="auto" w:fill="auto"/>
        </w:rPr>
        <w:t>, MMP-2, and OPN, in 110 patients with AF treated by RFA. It also compared MMP-2 and OPN levels with those of 50 controls and followed RFA outcomes in 54 patients with complete follow-up data.</w:t>
      </w:r>
    </w:p>
    <w:p w:rsidR="001111DE" w:rsidRPr="001111DE" w:rsidRDefault="001111DE" w:rsidP="001111DE">
      <w:pPr>
        <w:spacing w:after="80"/>
        <w:ind w:firstLine="425"/>
        <w:rPr>
          <w:rFonts w:eastAsia="Times New Roman"/>
          <w:shd w:val="clear" w:color="auto" w:fill="auto"/>
        </w:rPr>
      </w:pPr>
      <w:r w:rsidRPr="001111DE">
        <w:rPr>
          <w:rFonts w:eastAsia="Times New Roman"/>
          <w:shd w:val="clear" w:color="auto" w:fill="auto"/>
        </w:rPr>
        <w:t xml:space="preserve">The dissertation identified morphometric features and biomarkers of practical relevance: mean LAD was 36.49 ± 5.48 mm and </w:t>
      </w:r>
      <w:proofErr w:type="spellStart"/>
      <w:r w:rsidRPr="001111DE">
        <w:rPr>
          <w:rFonts w:eastAsia="Times New Roman"/>
          <w:shd w:val="clear" w:color="auto" w:fill="auto"/>
        </w:rPr>
        <w:t>LADi</w:t>
      </w:r>
      <w:proofErr w:type="spellEnd"/>
      <w:r w:rsidRPr="001111DE">
        <w:rPr>
          <w:rFonts w:eastAsia="Times New Roman"/>
          <w:shd w:val="clear" w:color="auto" w:fill="auto"/>
        </w:rPr>
        <w:t xml:space="preserve"> was 21.50 ± 3.19 mm/m²; mean NT-</w:t>
      </w:r>
      <w:proofErr w:type="spellStart"/>
      <w:r w:rsidRPr="001111DE">
        <w:rPr>
          <w:rFonts w:eastAsia="Times New Roman"/>
          <w:shd w:val="clear" w:color="auto" w:fill="auto"/>
        </w:rPr>
        <w:t>proBNP</w:t>
      </w:r>
      <w:proofErr w:type="spellEnd"/>
      <w:r w:rsidRPr="001111DE">
        <w:rPr>
          <w:rFonts w:eastAsia="Times New Roman"/>
          <w:shd w:val="clear" w:color="auto" w:fill="auto"/>
        </w:rPr>
        <w:t xml:space="preserve"> was 377.21 ± 710.38 </w:t>
      </w:r>
      <w:proofErr w:type="spellStart"/>
      <w:r w:rsidRPr="001111DE">
        <w:rPr>
          <w:rFonts w:eastAsia="Times New Roman"/>
          <w:shd w:val="clear" w:color="auto" w:fill="auto"/>
        </w:rPr>
        <w:t>pg</w:t>
      </w:r>
      <w:proofErr w:type="spellEnd"/>
      <w:r w:rsidRPr="001111DE">
        <w:rPr>
          <w:rFonts w:eastAsia="Times New Roman"/>
          <w:shd w:val="clear" w:color="auto" w:fill="auto"/>
        </w:rPr>
        <w:t xml:space="preserve">/mL and correlated positively with </w:t>
      </w:r>
      <w:proofErr w:type="spellStart"/>
      <w:r w:rsidRPr="001111DE">
        <w:rPr>
          <w:rFonts w:eastAsia="Times New Roman"/>
          <w:shd w:val="clear" w:color="auto" w:fill="auto"/>
        </w:rPr>
        <w:t>LADi</w:t>
      </w:r>
      <w:proofErr w:type="spellEnd"/>
      <w:r w:rsidRPr="001111DE">
        <w:rPr>
          <w:rFonts w:eastAsia="Times New Roman"/>
          <w:shd w:val="clear" w:color="auto" w:fill="auto"/>
        </w:rPr>
        <w:t xml:space="preserve"> (r = 0.476; p &lt; 0.001). Mean MMP-2 was 151.24 ± 37.70 ng/mL and mean OPN was 35.61 ± 13.90 ng/mL, both higher than in the control group (p &lt; 0.001).</w:t>
      </w:r>
    </w:p>
    <w:p w:rsidR="001111DE" w:rsidRPr="001111DE" w:rsidRDefault="001111DE" w:rsidP="001111DE">
      <w:pPr>
        <w:spacing w:after="80"/>
        <w:ind w:firstLine="425"/>
        <w:rPr>
          <w:rFonts w:eastAsia="Times New Roman"/>
          <w:shd w:val="clear" w:color="auto" w:fill="auto"/>
        </w:rPr>
      </w:pPr>
      <w:r w:rsidRPr="001111DE">
        <w:rPr>
          <w:rFonts w:eastAsia="Times New Roman"/>
          <w:shd w:val="clear" w:color="auto" w:fill="auto"/>
        </w:rPr>
        <w:t xml:space="preserve">Treatment outcomes showed that sinus rhythm maintenance after a single RFA procedure reached 77.78% at 3 months and 75.93% at 6 months. In paroxysmal AF, the rate was 89.47% at both time points, whereas in persistent AF it was 50.00% and 43.75%, respectively. </w:t>
      </w:r>
      <w:proofErr w:type="spellStart"/>
      <w:r w:rsidRPr="001111DE">
        <w:rPr>
          <w:rFonts w:eastAsia="Times New Roman"/>
          <w:shd w:val="clear" w:color="auto" w:fill="auto"/>
        </w:rPr>
        <w:t>LADi</w:t>
      </w:r>
      <w:proofErr w:type="spellEnd"/>
      <w:r w:rsidRPr="001111DE">
        <w:rPr>
          <w:rFonts w:eastAsia="Times New Roman"/>
          <w:shd w:val="clear" w:color="auto" w:fill="auto"/>
        </w:rPr>
        <w:t xml:space="preserve"> and NT-</w:t>
      </w:r>
      <w:proofErr w:type="spellStart"/>
      <w:r w:rsidRPr="001111DE">
        <w:rPr>
          <w:rFonts w:eastAsia="Times New Roman"/>
          <w:shd w:val="clear" w:color="auto" w:fill="auto"/>
        </w:rPr>
        <w:t>proBNP</w:t>
      </w:r>
      <w:proofErr w:type="spellEnd"/>
      <w:r w:rsidRPr="001111DE">
        <w:rPr>
          <w:rFonts w:eastAsia="Times New Roman"/>
          <w:shd w:val="clear" w:color="auto" w:fill="auto"/>
        </w:rPr>
        <w:t xml:space="preserve"> were prominent prognostic indicators; the model combining persistent AF + </w:t>
      </w:r>
      <w:proofErr w:type="spellStart"/>
      <w:r w:rsidRPr="001111DE">
        <w:rPr>
          <w:rFonts w:eastAsia="Times New Roman"/>
          <w:shd w:val="clear" w:color="auto" w:fill="auto"/>
        </w:rPr>
        <w:t>LADi</w:t>
      </w:r>
      <w:proofErr w:type="spellEnd"/>
      <w:r w:rsidRPr="001111DE">
        <w:rPr>
          <w:rFonts w:eastAsia="Times New Roman"/>
          <w:shd w:val="clear" w:color="auto" w:fill="auto"/>
        </w:rPr>
        <w:t xml:space="preserve"> + </w:t>
      </w:r>
      <w:proofErr w:type="spellStart"/>
      <w:r w:rsidRPr="001111DE">
        <w:rPr>
          <w:rFonts w:eastAsia="Times New Roman"/>
          <w:shd w:val="clear" w:color="auto" w:fill="auto"/>
        </w:rPr>
        <w:t>logNT-proBNP</w:t>
      </w:r>
      <w:proofErr w:type="spellEnd"/>
      <w:r w:rsidRPr="001111DE">
        <w:rPr>
          <w:rFonts w:eastAsia="Times New Roman"/>
          <w:shd w:val="clear" w:color="auto" w:fill="auto"/>
        </w:rPr>
        <w:t xml:space="preserve"> achieved an AUC of 0.889 at 6 months, while the model combining persistent AF + </w:t>
      </w:r>
      <w:proofErr w:type="spellStart"/>
      <w:r w:rsidRPr="001111DE">
        <w:rPr>
          <w:rFonts w:eastAsia="Times New Roman"/>
          <w:shd w:val="clear" w:color="auto" w:fill="auto"/>
        </w:rPr>
        <w:t>LADi</w:t>
      </w:r>
      <w:proofErr w:type="spellEnd"/>
      <w:r w:rsidRPr="001111DE">
        <w:rPr>
          <w:rFonts w:eastAsia="Times New Roman"/>
          <w:shd w:val="clear" w:color="auto" w:fill="auto"/>
        </w:rPr>
        <w:t xml:space="preserve"> achieved an AUC of 0.877.</w:t>
      </w:r>
    </w:p>
    <w:p w:rsidR="00250214" w:rsidRPr="00983165" w:rsidRDefault="00250214" w:rsidP="005B0BA0">
      <w:pPr>
        <w:spacing w:line="340" w:lineRule="exact"/>
        <w:ind w:firstLine="284"/>
        <w:rPr>
          <w:b/>
          <w:bCs/>
          <w:lang w:val="it-IT"/>
        </w:rPr>
      </w:pPr>
      <w:r>
        <w:rPr>
          <w:b/>
        </w:rPr>
        <w:t>3. Structure of the dissertation</w:t>
      </w:r>
    </w:p>
    <w:p w:rsidR="001111DE" w:rsidRPr="001111DE" w:rsidRDefault="001111DE" w:rsidP="001111DE">
      <w:pPr>
        <w:spacing w:after="80"/>
        <w:ind w:firstLine="0"/>
        <w:rPr>
          <w:rFonts w:eastAsia="Times New Roman"/>
          <w:shd w:val="clear" w:color="auto" w:fill="auto"/>
        </w:rPr>
      </w:pPr>
      <w:r w:rsidRPr="001111DE">
        <w:rPr>
          <w:rFonts w:eastAsia="Times New Roman"/>
          <w:shd w:val="clear" w:color="auto" w:fill="auto"/>
        </w:rPr>
        <w:lastRenderedPageBreak/>
        <w:t>The dissertation comprises 136 pages of main content, including: Introduction, 2 pages; Literature Review, 35 pages; Subjects and Methods, 28 pages; Results, 31 pages; Discussion, 35 pages; Study Limitations, 1 page; Conclusions, 2 pages; and Recommendations, 1 page.</w:t>
      </w:r>
    </w:p>
    <w:p w:rsidR="001111DE" w:rsidRPr="001111DE" w:rsidRDefault="001111DE" w:rsidP="001111DE">
      <w:pPr>
        <w:spacing w:after="80"/>
        <w:ind w:firstLine="0"/>
        <w:rPr>
          <w:rFonts w:eastAsia="Times New Roman"/>
          <w:shd w:val="clear" w:color="auto" w:fill="auto"/>
        </w:rPr>
      </w:pPr>
      <w:r w:rsidRPr="001111DE">
        <w:rPr>
          <w:rFonts w:eastAsia="Times New Roman"/>
          <w:shd w:val="clear" w:color="auto" w:fill="auto"/>
        </w:rPr>
        <w:t>The dissertation contains 43 tables, 6 charts, 10 figures, and 1 diagram.</w:t>
      </w:r>
    </w:p>
    <w:p w:rsidR="001111DE" w:rsidRPr="001111DE" w:rsidRDefault="001111DE" w:rsidP="001111DE">
      <w:pPr>
        <w:spacing w:after="80"/>
        <w:ind w:firstLine="0"/>
        <w:rPr>
          <w:rFonts w:eastAsia="Times New Roman"/>
          <w:shd w:val="clear" w:color="auto" w:fill="auto"/>
        </w:rPr>
      </w:pPr>
      <w:r w:rsidRPr="001111DE">
        <w:rPr>
          <w:rFonts w:eastAsia="Times New Roman"/>
          <w:shd w:val="clear" w:color="auto" w:fill="auto"/>
        </w:rPr>
        <w:t>The dissertation cites 130 references (4 in Vietnamese and 126 in English).</w:t>
      </w:r>
    </w:p>
    <w:p w:rsidR="001111DE" w:rsidRPr="001111DE" w:rsidRDefault="001111DE" w:rsidP="001111DE">
      <w:pPr>
        <w:keepNext/>
        <w:keepLines/>
        <w:spacing w:before="120" w:after="80"/>
        <w:ind w:firstLine="0"/>
        <w:jc w:val="center"/>
        <w:outlineLvl w:val="0"/>
        <w:rPr>
          <w:rFonts w:eastAsia="MS Gothic"/>
          <w:b/>
          <w:bCs/>
          <w:shd w:val="clear" w:color="auto" w:fill="auto"/>
        </w:rPr>
      </w:pPr>
      <w:r w:rsidRPr="001111DE">
        <w:rPr>
          <w:rFonts w:eastAsia="Times New Roman"/>
          <w:b/>
          <w:bCs/>
          <w:shd w:val="clear" w:color="auto" w:fill="auto"/>
        </w:rPr>
        <w:t>Chapter 1. LITERATURE REVIEW</w:t>
      </w:r>
    </w:p>
    <w:p w:rsidR="001111DE" w:rsidRPr="001111DE" w:rsidRDefault="001111DE" w:rsidP="001111DE">
      <w:pPr>
        <w:keepNext/>
        <w:keepLines/>
        <w:spacing w:before="120" w:after="80"/>
        <w:ind w:firstLine="0"/>
        <w:jc w:val="left"/>
        <w:outlineLvl w:val="1"/>
        <w:rPr>
          <w:rFonts w:eastAsia="MS Gothic"/>
          <w:b/>
          <w:bCs/>
          <w:shd w:val="clear" w:color="auto" w:fill="auto"/>
        </w:rPr>
      </w:pPr>
      <w:r w:rsidRPr="001111DE">
        <w:rPr>
          <w:rFonts w:eastAsia="Times New Roman"/>
          <w:b/>
          <w:bCs/>
          <w:shd w:val="clear" w:color="auto" w:fill="auto"/>
        </w:rPr>
        <w:t>1.1. Changes in left atrial morphology in atrial fibrillation</w:t>
      </w:r>
    </w:p>
    <w:p w:rsidR="001111DE" w:rsidRPr="001111DE" w:rsidRDefault="001111DE" w:rsidP="001111DE">
      <w:pPr>
        <w:spacing w:after="80"/>
        <w:ind w:firstLine="425"/>
        <w:rPr>
          <w:rFonts w:eastAsia="Times New Roman"/>
          <w:shd w:val="clear" w:color="auto" w:fill="auto"/>
        </w:rPr>
      </w:pPr>
      <w:r w:rsidRPr="001111DE">
        <w:rPr>
          <w:rFonts w:eastAsia="Times New Roman"/>
          <w:shd w:val="clear" w:color="auto" w:fill="auto"/>
        </w:rPr>
        <w:t xml:space="preserve">AF is a common arrhythmia characterized by chaotic atrial electrical activity, loss of effective atrial contraction, and an irregular ventricular response. In AF, the left atrium is both a substrate for and a consequence of the arrhythmia: atrial dilatation prolongs conduction pathways and causes conduction heterogeneity; impaired mechanical function, reduced strain, increased stiffness, and atrial-wall fibrosis decrease the likelihood of maintaining sinus rhythm after cardioversion or RFA. Computed tomography (CT) helps delineate left atrial-pulmonary vein anatomy for PVI planning, whereas echocardiography, particularly </w:t>
      </w:r>
      <w:proofErr w:type="spellStart"/>
      <w:r w:rsidRPr="001111DE">
        <w:rPr>
          <w:rFonts w:eastAsia="Times New Roman"/>
          <w:shd w:val="clear" w:color="auto" w:fill="auto"/>
        </w:rPr>
        <w:t>LADi</w:t>
      </w:r>
      <w:proofErr w:type="spellEnd"/>
      <w:r w:rsidRPr="001111DE">
        <w:rPr>
          <w:rFonts w:eastAsia="Times New Roman"/>
          <w:shd w:val="clear" w:color="auto" w:fill="auto"/>
        </w:rPr>
        <w:t>, has practical value for risk stratification.</w:t>
      </w:r>
    </w:p>
    <w:p w:rsidR="001111DE" w:rsidRPr="001111DE" w:rsidRDefault="001111DE" w:rsidP="001111DE">
      <w:pPr>
        <w:keepNext/>
        <w:keepLines/>
        <w:spacing w:before="120" w:after="80"/>
        <w:ind w:firstLine="0"/>
        <w:jc w:val="left"/>
        <w:outlineLvl w:val="1"/>
        <w:rPr>
          <w:rFonts w:eastAsia="MS Gothic"/>
          <w:b/>
          <w:bCs/>
          <w:shd w:val="clear" w:color="auto" w:fill="auto"/>
        </w:rPr>
      </w:pPr>
      <w:r w:rsidRPr="001111DE">
        <w:rPr>
          <w:rFonts w:eastAsia="Times New Roman"/>
          <w:b/>
          <w:bCs/>
          <w:shd w:val="clear" w:color="auto" w:fill="auto"/>
        </w:rPr>
        <w:t>1.2. Biomarkers in atrial fibrillation</w:t>
      </w:r>
    </w:p>
    <w:p w:rsidR="001111DE" w:rsidRPr="001111DE" w:rsidRDefault="001111DE" w:rsidP="001111DE">
      <w:pPr>
        <w:keepNext/>
        <w:keepLines/>
        <w:spacing w:before="120" w:after="80"/>
        <w:ind w:firstLine="0"/>
        <w:jc w:val="left"/>
        <w:outlineLvl w:val="2"/>
        <w:rPr>
          <w:rFonts w:eastAsia="MS Gothic"/>
          <w:b/>
          <w:bCs/>
          <w:shd w:val="clear" w:color="auto" w:fill="auto"/>
        </w:rPr>
      </w:pPr>
      <w:r w:rsidRPr="001111DE">
        <w:rPr>
          <w:rFonts w:eastAsia="Times New Roman"/>
          <w:b/>
          <w:bCs/>
          <w:shd w:val="clear" w:color="auto" w:fill="auto"/>
        </w:rPr>
        <w:t>1.2.1. Overview of biomarkers in atrial fibrillation</w:t>
      </w:r>
    </w:p>
    <w:p w:rsidR="001111DE" w:rsidRPr="001111DE" w:rsidRDefault="001111DE" w:rsidP="001111DE">
      <w:pPr>
        <w:spacing w:after="80"/>
        <w:ind w:firstLine="425"/>
        <w:rPr>
          <w:rFonts w:eastAsia="Times New Roman"/>
          <w:shd w:val="clear" w:color="auto" w:fill="auto"/>
        </w:rPr>
      </w:pPr>
      <w:r w:rsidRPr="001111DE">
        <w:rPr>
          <w:rFonts w:eastAsia="Times New Roman"/>
          <w:shd w:val="clear" w:color="auto" w:fill="auto"/>
        </w:rPr>
        <w:t>AF is a multi-mechanistic syndrome involving cardiac chamber stretch, inflammation, oxidative stress, fibrosis, extracellular-matrix remodeling, endothelial dysfunction, and hypercoagulability. Accordingly, biomarkers have been investigated to reflect different pathogenic axes, support disease phenotyping, and predict incident AF, cardiovascular events, and recurrence risk after rhythm-control therapy. In this dissertation, NT-</w:t>
      </w:r>
      <w:proofErr w:type="spellStart"/>
      <w:r w:rsidRPr="001111DE">
        <w:rPr>
          <w:rFonts w:eastAsia="Times New Roman"/>
          <w:shd w:val="clear" w:color="auto" w:fill="auto"/>
        </w:rPr>
        <w:t>proBNP</w:t>
      </w:r>
      <w:proofErr w:type="spellEnd"/>
      <w:r w:rsidRPr="001111DE">
        <w:rPr>
          <w:rFonts w:eastAsia="Times New Roman"/>
          <w:shd w:val="clear" w:color="auto" w:fill="auto"/>
        </w:rPr>
        <w:t xml:space="preserve"> represents hemodynamic </w:t>
      </w:r>
      <w:r w:rsidRPr="001111DE">
        <w:rPr>
          <w:rFonts w:eastAsia="Times New Roman"/>
          <w:shd w:val="clear" w:color="auto" w:fill="auto"/>
        </w:rPr>
        <w:lastRenderedPageBreak/>
        <w:t>stress; MMP-2 reflects extracellular-matrix remodeling; and OPN is associated with inflammation-fibrosis. Combining these biomarkers with left atrial morphology may provide a more comprehensive assessment of the atrial substrate.</w:t>
      </w:r>
    </w:p>
    <w:p w:rsidR="001111DE" w:rsidRPr="001111DE" w:rsidRDefault="001111DE" w:rsidP="001111DE">
      <w:pPr>
        <w:keepNext/>
        <w:keepLines/>
        <w:spacing w:before="120" w:after="80"/>
        <w:ind w:firstLine="0"/>
        <w:jc w:val="left"/>
        <w:outlineLvl w:val="2"/>
        <w:rPr>
          <w:rFonts w:eastAsia="MS Gothic"/>
          <w:b/>
          <w:bCs/>
          <w:shd w:val="clear" w:color="auto" w:fill="auto"/>
        </w:rPr>
      </w:pPr>
      <w:r w:rsidRPr="001111DE">
        <w:rPr>
          <w:rFonts w:eastAsia="Times New Roman"/>
          <w:b/>
          <w:bCs/>
          <w:shd w:val="clear" w:color="auto" w:fill="auto"/>
        </w:rPr>
        <w:t>1.2.2. Matrix Metalloproteinase-2</w:t>
      </w:r>
    </w:p>
    <w:p w:rsidR="001111DE" w:rsidRPr="001111DE" w:rsidRDefault="001111DE" w:rsidP="001111DE">
      <w:pPr>
        <w:keepNext/>
        <w:keepLines/>
        <w:spacing w:before="120" w:after="80"/>
        <w:ind w:firstLine="0"/>
        <w:jc w:val="left"/>
        <w:outlineLvl w:val="3"/>
        <w:rPr>
          <w:rFonts w:eastAsia="MS Gothic"/>
          <w:b/>
          <w:bCs/>
          <w:i/>
          <w:iCs/>
          <w:shd w:val="clear" w:color="auto" w:fill="auto"/>
        </w:rPr>
      </w:pPr>
      <w:r w:rsidRPr="001111DE">
        <w:rPr>
          <w:rFonts w:eastAsia="Times New Roman"/>
          <w:b/>
          <w:bCs/>
          <w:i/>
          <w:iCs/>
          <w:shd w:val="clear" w:color="auto" w:fill="auto"/>
        </w:rPr>
        <w:t>1.2.2.1. Biological characteristics</w:t>
      </w:r>
    </w:p>
    <w:p w:rsidR="001111DE" w:rsidRPr="001111DE" w:rsidRDefault="001111DE" w:rsidP="001111DE">
      <w:pPr>
        <w:spacing w:after="80"/>
        <w:ind w:firstLine="425"/>
        <w:rPr>
          <w:rFonts w:eastAsia="Times New Roman"/>
          <w:shd w:val="clear" w:color="auto" w:fill="auto"/>
        </w:rPr>
      </w:pPr>
      <w:r w:rsidRPr="001111DE">
        <w:rPr>
          <w:rFonts w:eastAsia="Times New Roman"/>
          <w:shd w:val="clear" w:color="auto" w:fill="auto"/>
        </w:rPr>
        <w:t xml:space="preserve">MMP-2 is a zinc-dependent enzyme of the matrix metalloproteinase family that can degrade type IV collagen, gelatin, and multiple extracellular-matrix components. In cardiac tissue, MMP-2 is regulated by angiotensin II, inflammatory cytokines, oxidative stress, and mechanical stretch. MMP-2 activity is balanced by tissue inhibitors of </w:t>
      </w:r>
      <w:proofErr w:type="spellStart"/>
      <w:r w:rsidRPr="001111DE">
        <w:rPr>
          <w:rFonts w:eastAsia="Times New Roman"/>
          <w:shd w:val="clear" w:color="auto" w:fill="auto"/>
        </w:rPr>
        <w:t>metalloproteinases</w:t>
      </w:r>
      <w:proofErr w:type="spellEnd"/>
      <w:r w:rsidRPr="001111DE">
        <w:rPr>
          <w:rFonts w:eastAsia="Times New Roman"/>
          <w:shd w:val="clear" w:color="auto" w:fill="auto"/>
        </w:rPr>
        <w:t xml:space="preserve"> (TIMPs); when this balance shifts toward increased MMP-2 activity, atrial remodeling and fibrosis are promoted.</w:t>
      </w:r>
    </w:p>
    <w:p w:rsidR="001111DE" w:rsidRPr="001111DE" w:rsidRDefault="001111DE" w:rsidP="001111DE">
      <w:pPr>
        <w:keepNext/>
        <w:keepLines/>
        <w:spacing w:before="120" w:after="80"/>
        <w:ind w:firstLine="0"/>
        <w:jc w:val="left"/>
        <w:outlineLvl w:val="3"/>
        <w:rPr>
          <w:rFonts w:eastAsia="MS Gothic"/>
          <w:b/>
          <w:bCs/>
          <w:i/>
          <w:iCs/>
          <w:shd w:val="clear" w:color="auto" w:fill="auto"/>
        </w:rPr>
      </w:pPr>
      <w:r w:rsidRPr="001111DE">
        <w:rPr>
          <w:rFonts w:eastAsia="Times New Roman"/>
          <w:b/>
          <w:bCs/>
          <w:i/>
          <w:iCs/>
          <w:shd w:val="clear" w:color="auto" w:fill="auto"/>
        </w:rPr>
        <w:t>1.2.2.2. Role in atrial fibrillation</w:t>
      </w:r>
    </w:p>
    <w:p w:rsidR="001111DE" w:rsidRPr="001111DE" w:rsidRDefault="001111DE" w:rsidP="001111DE">
      <w:pPr>
        <w:spacing w:after="80"/>
        <w:ind w:firstLine="425"/>
        <w:rPr>
          <w:rFonts w:eastAsia="Times New Roman"/>
          <w:shd w:val="clear" w:color="auto" w:fill="auto"/>
        </w:rPr>
      </w:pPr>
      <w:r w:rsidRPr="001111DE">
        <w:rPr>
          <w:rFonts w:eastAsia="Times New Roman"/>
          <w:shd w:val="clear" w:color="auto" w:fill="auto"/>
        </w:rPr>
        <w:t>MMP-2 is considered an important link in the pathogenesis of AF because it is directly involved in atrial extracellular-matrix remodeling. Increased MMP-2 concentrations are associated with atrial dilatation, atrial dysfunction, risk of incident AF, and the likelihood of recurrence after rhythm-control interventions. However, its independent predictive value has not always been consistent; therefore, MMP-2 is best interpreted together with left atrial morphology and other biomarkers.</w:t>
      </w:r>
    </w:p>
    <w:p w:rsidR="001111DE" w:rsidRPr="001111DE" w:rsidRDefault="001111DE" w:rsidP="001111DE">
      <w:pPr>
        <w:keepNext/>
        <w:keepLines/>
        <w:spacing w:before="120" w:after="80"/>
        <w:ind w:firstLine="0"/>
        <w:jc w:val="left"/>
        <w:outlineLvl w:val="2"/>
        <w:rPr>
          <w:rFonts w:eastAsia="MS Gothic"/>
          <w:b/>
          <w:bCs/>
          <w:shd w:val="clear" w:color="auto" w:fill="auto"/>
        </w:rPr>
      </w:pPr>
      <w:r w:rsidRPr="001111DE">
        <w:rPr>
          <w:rFonts w:eastAsia="Times New Roman"/>
          <w:b/>
          <w:bCs/>
          <w:shd w:val="clear" w:color="auto" w:fill="auto"/>
        </w:rPr>
        <w:t xml:space="preserve">1.2.3. </w:t>
      </w:r>
      <w:proofErr w:type="spellStart"/>
      <w:r w:rsidRPr="001111DE">
        <w:rPr>
          <w:rFonts w:eastAsia="Times New Roman"/>
          <w:b/>
          <w:bCs/>
          <w:shd w:val="clear" w:color="auto" w:fill="auto"/>
        </w:rPr>
        <w:t>Osteopontin</w:t>
      </w:r>
      <w:proofErr w:type="spellEnd"/>
    </w:p>
    <w:p w:rsidR="001111DE" w:rsidRPr="001111DE" w:rsidRDefault="001111DE" w:rsidP="001111DE">
      <w:pPr>
        <w:keepNext/>
        <w:keepLines/>
        <w:spacing w:before="120" w:after="80"/>
        <w:ind w:firstLine="0"/>
        <w:jc w:val="left"/>
        <w:outlineLvl w:val="3"/>
        <w:rPr>
          <w:rFonts w:eastAsia="MS Gothic"/>
          <w:b/>
          <w:bCs/>
          <w:i/>
          <w:iCs/>
          <w:shd w:val="clear" w:color="auto" w:fill="auto"/>
        </w:rPr>
      </w:pPr>
      <w:r w:rsidRPr="001111DE">
        <w:rPr>
          <w:rFonts w:eastAsia="Times New Roman"/>
          <w:b/>
          <w:bCs/>
          <w:i/>
          <w:iCs/>
          <w:shd w:val="clear" w:color="auto" w:fill="auto"/>
        </w:rPr>
        <w:t>1.2.3.1. Biological characteristics</w:t>
      </w:r>
    </w:p>
    <w:p w:rsidR="001111DE" w:rsidRPr="001111DE" w:rsidRDefault="001111DE" w:rsidP="001111DE">
      <w:pPr>
        <w:spacing w:after="80"/>
        <w:ind w:firstLine="425"/>
        <w:rPr>
          <w:rFonts w:eastAsia="Times New Roman"/>
          <w:shd w:val="clear" w:color="auto" w:fill="auto"/>
        </w:rPr>
      </w:pPr>
      <w:r w:rsidRPr="001111DE">
        <w:rPr>
          <w:rFonts w:eastAsia="Times New Roman"/>
          <w:shd w:val="clear" w:color="auto" w:fill="auto"/>
        </w:rPr>
        <w:t xml:space="preserve">OPN is a non-collagenous extracellular-matrix glycoprotein encoded by the SPP1 gene and participates in cell adhesion, cell migration, inflammatory responses, and fibroblast activation. In the heart, OPN is induced by mechanical stress, angiotensin II, and inflammatory cytokines, thereby promoting collagen synthesis and </w:t>
      </w:r>
      <w:r w:rsidRPr="001111DE">
        <w:rPr>
          <w:rFonts w:eastAsia="Times New Roman"/>
          <w:shd w:val="clear" w:color="auto" w:fill="auto"/>
        </w:rPr>
        <w:lastRenderedPageBreak/>
        <w:t>increasing tissue stiffness. As a bridge between inflammation and fibrosis, OPN is suitable for reflecting atrial remodeling.</w:t>
      </w:r>
    </w:p>
    <w:p w:rsidR="001111DE" w:rsidRPr="001111DE" w:rsidRDefault="001111DE" w:rsidP="001111DE">
      <w:pPr>
        <w:keepNext/>
        <w:keepLines/>
        <w:spacing w:before="120" w:after="80"/>
        <w:ind w:firstLine="0"/>
        <w:jc w:val="left"/>
        <w:outlineLvl w:val="3"/>
        <w:rPr>
          <w:rFonts w:eastAsia="MS Gothic"/>
          <w:b/>
          <w:bCs/>
          <w:i/>
          <w:iCs/>
          <w:shd w:val="clear" w:color="auto" w:fill="auto"/>
        </w:rPr>
      </w:pPr>
      <w:r w:rsidRPr="001111DE">
        <w:rPr>
          <w:rFonts w:eastAsia="Times New Roman"/>
          <w:b/>
          <w:bCs/>
          <w:i/>
          <w:iCs/>
          <w:shd w:val="clear" w:color="auto" w:fill="auto"/>
        </w:rPr>
        <w:t>1.2.3.2. Role in atrial fibrillation</w:t>
      </w:r>
    </w:p>
    <w:p w:rsidR="001111DE" w:rsidRPr="001111DE" w:rsidRDefault="001111DE" w:rsidP="001111DE">
      <w:pPr>
        <w:spacing w:after="80"/>
        <w:ind w:firstLine="425"/>
        <w:rPr>
          <w:rFonts w:eastAsia="Times New Roman"/>
          <w:shd w:val="clear" w:color="auto" w:fill="auto"/>
        </w:rPr>
      </w:pPr>
      <w:r w:rsidRPr="001111DE">
        <w:rPr>
          <w:rFonts w:eastAsia="Times New Roman"/>
          <w:shd w:val="clear" w:color="auto" w:fill="auto"/>
        </w:rPr>
        <w:t xml:space="preserve">In AF, OPN may be increased in atrial tissue and plasma, particularly when there is evidence of fibrosis or low-voltage areas. Epidemiological, interventional, and proteomic studies have reported associations between OPN and risk of incident AF, atrial substrate burden, and recurrence after ablation. Nevertheless, OPN is a systemic biomarker influenced by </w:t>
      </w:r>
      <w:proofErr w:type="spellStart"/>
      <w:r w:rsidRPr="001111DE">
        <w:rPr>
          <w:rFonts w:eastAsia="Times New Roman"/>
          <w:shd w:val="clear" w:color="auto" w:fill="auto"/>
        </w:rPr>
        <w:t>extracardiac</w:t>
      </w:r>
      <w:proofErr w:type="spellEnd"/>
      <w:r w:rsidRPr="001111DE">
        <w:rPr>
          <w:rFonts w:eastAsia="Times New Roman"/>
          <w:shd w:val="clear" w:color="auto" w:fill="auto"/>
        </w:rPr>
        <w:t xml:space="preserve"> inflammation and fibrosis, so its optimal value likely lies in multi-marker models.</w:t>
      </w:r>
    </w:p>
    <w:p w:rsidR="001111DE" w:rsidRPr="001111DE" w:rsidRDefault="001111DE" w:rsidP="001111DE">
      <w:pPr>
        <w:keepNext/>
        <w:keepLines/>
        <w:spacing w:before="120" w:after="80"/>
        <w:ind w:firstLine="0"/>
        <w:jc w:val="left"/>
        <w:outlineLvl w:val="2"/>
        <w:rPr>
          <w:rFonts w:eastAsia="MS Gothic"/>
          <w:b/>
          <w:bCs/>
          <w:shd w:val="clear" w:color="auto" w:fill="auto"/>
        </w:rPr>
      </w:pPr>
      <w:r w:rsidRPr="001111DE">
        <w:rPr>
          <w:rFonts w:eastAsia="Times New Roman"/>
          <w:b/>
          <w:bCs/>
          <w:shd w:val="clear" w:color="auto" w:fill="auto"/>
        </w:rPr>
        <w:t>1.2.4. NT-</w:t>
      </w:r>
      <w:proofErr w:type="spellStart"/>
      <w:r w:rsidRPr="001111DE">
        <w:rPr>
          <w:rFonts w:eastAsia="Times New Roman"/>
          <w:b/>
          <w:bCs/>
          <w:shd w:val="clear" w:color="auto" w:fill="auto"/>
        </w:rPr>
        <w:t>proBNP</w:t>
      </w:r>
      <w:proofErr w:type="spellEnd"/>
    </w:p>
    <w:p w:rsidR="001111DE" w:rsidRPr="001111DE" w:rsidRDefault="001111DE" w:rsidP="001111DE">
      <w:pPr>
        <w:keepNext/>
        <w:keepLines/>
        <w:spacing w:before="120" w:after="80"/>
        <w:ind w:firstLine="0"/>
        <w:jc w:val="left"/>
        <w:outlineLvl w:val="3"/>
        <w:rPr>
          <w:rFonts w:eastAsia="MS Gothic"/>
          <w:b/>
          <w:bCs/>
          <w:i/>
          <w:iCs/>
          <w:shd w:val="clear" w:color="auto" w:fill="auto"/>
        </w:rPr>
      </w:pPr>
      <w:r w:rsidRPr="001111DE">
        <w:rPr>
          <w:rFonts w:eastAsia="Times New Roman"/>
          <w:b/>
          <w:bCs/>
          <w:i/>
          <w:iCs/>
          <w:shd w:val="clear" w:color="auto" w:fill="auto"/>
        </w:rPr>
        <w:t>1.2.4.1. Biological characteristics</w:t>
      </w:r>
    </w:p>
    <w:p w:rsidR="001111DE" w:rsidRPr="001111DE" w:rsidRDefault="001111DE" w:rsidP="001111DE">
      <w:pPr>
        <w:spacing w:after="80"/>
        <w:ind w:firstLine="425"/>
        <w:rPr>
          <w:rFonts w:eastAsia="Times New Roman"/>
          <w:shd w:val="clear" w:color="auto" w:fill="auto"/>
        </w:rPr>
      </w:pPr>
      <w:r w:rsidRPr="001111DE">
        <w:rPr>
          <w:rFonts w:eastAsia="Times New Roman"/>
          <w:shd w:val="clear" w:color="auto" w:fill="auto"/>
        </w:rPr>
        <w:t>NT-</w:t>
      </w:r>
      <w:proofErr w:type="spellStart"/>
      <w:r w:rsidRPr="001111DE">
        <w:rPr>
          <w:rFonts w:eastAsia="Times New Roman"/>
          <w:shd w:val="clear" w:color="auto" w:fill="auto"/>
        </w:rPr>
        <w:t>proBNP</w:t>
      </w:r>
      <w:proofErr w:type="spellEnd"/>
      <w:r w:rsidRPr="001111DE">
        <w:rPr>
          <w:rFonts w:eastAsia="Times New Roman"/>
          <w:shd w:val="clear" w:color="auto" w:fill="auto"/>
        </w:rPr>
        <w:t xml:space="preserve"> is a cleavage product of </w:t>
      </w:r>
      <w:proofErr w:type="spellStart"/>
      <w:r w:rsidRPr="001111DE">
        <w:rPr>
          <w:rFonts w:eastAsia="Times New Roman"/>
          <w:shd w:val="clear" w:color="auto" w:fill="auto"/>
        </w:rPr>
        <w:t>proBNP</w:t>
      </w:r>
      <w:proofErr w:type="spellEnd"/>
      <w:r w:rsidRPr="001111DE">
        <w:rPr>
          <w:rFonts w:eastAsia="Times New Roman"/>
          <w:shd w:val="clear" w:color="auto" w:fill="auto"/>
        </w:rPr>
        <w:t xml:space="preserve"> and is released when myocardial walls are stretched owing to increased pressure or volume. Compared with BNP, NT-</w:t>
      </w:r>
      <w:proofErr w:type="spellStart"/>
      <w:r w:rsidRPr="001111DE">
        <w:rPr>
          <w:rFonts w:eastAsia="Times New Roman"/>
          <w:shd w:val="clear" w:color="auto" w:fill="auto"/>
        </w:rPr>
        <w:t>proBNP</w:t>
      </w:r>
      <w:proofErr w:type="spellEnd"/>
      <w:r w:rsidRPr="001111DE">
        <w:rPr>
          <w:rFonts w:eastAsia="Times New Roman"/>
          <w:shd w:val="clear" w:color="auto" w:fill="auto"/>
        </w:rPr>
        <w:t xml:space="preserve"> is more stable in plasma and more convenient for clinical quantification. NT-</w:t>
      </w:r>
      <w:proofErr w:type="spellStart"/>
      <w:r w:rsidRPr="001111DE">
        <w:rPr>
          <w:rFonts w:eastAsia="Times New Roman"/>
          <w:shd w:val="clear" w:color="auto" w:fill="auto"/>
        </w:rPr>
        <w:t>proBNP</w:t>
      </w:r>
      <w:proofErr w:type="spellEnd"/>
      <w:r w:rsidRPr="001111DE">
        <w:rPr>
          <w:rFonts w:eastAsia="Times New Roman"/>
          <w:shd w:val="clear" w:color="auto" w:fill="auto"/>
        </w:rPr>
        <w:t xml:space="preserve"> concentrations depend on age, renal function, obesity, left ventricular function, rhythm status, and heart rate at the time of sampling.</w:t>
      </w:r>
    </w:p>
    <w:p w:rsidR="001111DE" w:rsidRPr="001111DE" w:rsidRDefault="001111DE" w:rsidP="001111DE">
      <w:pPr>
        <w:keepNext/>
        <w:keepLines/>
        <w:spacing w:before="120" w:after="80"/>
        <w:ind w:firstLine="0"/>
        <w:jc w:val="left"/>
        <w:outlineLvl w:val="3"/>
        <w:rPr>
          <w:rFonts w:eastAsia="MS Gothic"/>
          <w:b/>
          <w:bCs/>
          <w:i/>
          <w:iCs/>
          <w:shd w:val="clear" w:color="auto" w:fill="auto"/>
        </w:rPr>
      </w:pPr>
      <w:r w:rsidRPr="001111DE">
        <w:rPr>
          <w:rFonts w:eastAsia="Times New Roman"/>
          <w:b/>
          <w:bCs/>
          <w:i/>
          <w:iCs/>
          <w:shd w:val="clear" w:color="auto" w:fill="auto"/>
        </w:rPr>
        <w:t>1.2.4.2. Role in atrial fibrillation</w:t>
      </w:r>
    </w:p>
    <w:p w:rsidR="001111DE" w:rsidRPr="001111DE" w:rsidRDefault="001111DE" w:rsidP="001111DE">
      <w:pPr>
        <w:spacing w:after="80"/>
        <w:ind w:firstLine="425"/>
        <w:rPr>
          <w:rFonts w:eastAsia="Times New Roman"/>
          <w:shd w:val="clear" w:color="auto" w:fill="auto"/>
        </w:rPr>
      </w:pPr>
      <w:r w:rsidRPr="001111DE">
        <w:rPr>
          <w:rFonts w:eastAsia="Times New Roman"/>
          <w:shd w:val="clear" w:color="auto" w:fill="auto"/>
        </w:rPr>
        <w:t>NT-</w:t>
      </w:r>
      <w:proofErr w:type="spellStart"/>
      <w:r w:rsidRPr="001111DE">
        <w:rPr>
          <w:rFonts w:eastAsia="Times New Roman"/>
          <w:shd w:val="clear" w:color="auto" w:fill="auto"/>
        </w:rPr>
        <w:t>proBNP</w:t>
      </w:r>
      <w:proofErr w:type="spellEnd"/>
      <w:r w:rsidRPr="001111DE">
        <w:rPr>
          <w:rFonts w:eastAsia="Times New Roman"/>
          <w:shd w:val="clear" w:color="auto" w:fill="auto"/>
        </w:rPr>
        <w:t xml:space="preserve"> is one of the most robust and stable biomarkers in patients with AF. Its concentration increases because of atrial stretch, elevated filling pressures, ventricular dysfunction, and the irregular rhythm itself. NT-</w:t>
      </w:r>
      <w:proofErr w:type="spellStart"/>
      <w:r w:rsidRPr="001111DE">
        <w:rPr>
          <w:rFonts w:eastAsia="Times New Roman"/>
          <w:shd w:val="clear" w:color="auto" w:fill="auto"/>
        </w:rPr>
        <w:t>proBNP</w:t>
      </w:r>
      <w:proofErr w:type="spellEnd"/>
      <w:r w:rsidRPr="001111DE">
        <w:rPr>
          <w:rFonts w:eastAsia="Times New Roman"/>
          <w:shd w:val="clear" w:color="auto" w:fill="auto"/>
        </w:rPr>
        <w:t xml:space="preserve"> is closely associated with left atrial size, AF burden, and the likelihood of recurrence after cardioversion or RFA; because it reflects current hemodynamic stress, it often has greater practical predictive value than isolated fibrosis markers.</w:t>
      </w:r>
    </w:p>
    <w:p w:rsidR="001111DE" w:rsidRPr="001111DE" w:rsidRDefault="001111DE" w:rsidP="001111DE">
      <w:pPr>
        <w:keepNext/>
        <w:keepLines/>
        <w:spacing w:before="120" w:after="80"/>
        <w:ind w:firstLine="0"/>
        <w:jc w:val="center"/>
        <w:outlineLvl w:val="0"/>
        <w:rPr>
          <w:rFonts w:eastAsia="MS Gothic"/>
          <w:b/>
          <w:bCs/>
          <w:shd w:val="clear" w:color="auto" w:fill="auto"/>
        </w:rPr>
      </w:pPr>
      <w:r w:rsidRPr="001111DE">
        <w:rPr>
          <w:rFonts w:eastAsia="Times New Roman"/>
          <w:b/>
          <w:bCs/>
          <w:shd w:val="clear" w:color="auto" w:fill="auto"/>
        </w:rPr>
        <w:lastRenderedPageBreak/>
        <w:t>Chapter 2. SUBJECTS AND METHODS</w:t>
      </w:r>
    </w:p>
    <w:p w:rsidR="001111DE" w:rsidRPr="001111DE" w:rsidRDefault="001111DE" w:rsidP="001111DE">
      <w:pPr>
        <w:keepNext/>
        <w:keepLines/>
        <w:spacing w:before="120" w:after="80"/>
        <w:ind w:firstLine="0"/>
        <w:jc w:val="left"/>
        <w:outlineLvl w:val="1"/>
        <w:rPr>
          <w:rFonts w:eastAsia="MS Gothic"/>
          <w:b/>
          <w:bCs/>
          <w:shd w:val="clear" w:color="auto" w:fill="auto"/>
        </w:rPr>
      </w:pPr>
      <w:r w:rsidRPr="001111DE">
        <w:rPr>
          <w:rFonts w:eastAsia="Times New Roman"/>
          <w:b/>
          <w:bCs/>
          <w:shd w:val="clear" w:color="auto" w:fill="auto"/>
        </w:rPr>
        <w:t>2.1. Study population</w:t>
      </w:r>
    </w:p>
    <w:p w:rsidR="001111DE" w:rsidRPr="001111DE" w:rsidRDefault="001111DE" w:rsidP="001111DE">
      <w:pPr>
        <w:spacing w:after="80"/>
        <w:ind w:firstLine="425"/>
        <w:rPr>
          <w:rFonts w:eastAsia="Times New Roman"/>
          <w:shd w:val="clear" w:color="auto" w:fill="auto"/>
        </w:rPr>
      </w:pPr>
      <w:r w:rsidRPr="001111DE">
        <w:rPr>
          <w:rFonts w:eastAsia="Times New Roman"/>
          <w:shd w:val="clear" w:color="auto" w:fill="auto"/>
        </w:rPr>
        <w:t>The study was conducted in 110 patients with confirmed paroxysmal or persistent AF who had an indication for and underwent RFA at Military Hospital 103, Bach Mai Hospital, and Hanoi Heart Hospital between January 2021 and December 2024. The control group comprised 50 individuals without AF for comparison of MMP-2 and OPN concentrations.</w:t>
      </w:r>
    </w:p>
    <w:p w:rsidR="001111DE" w:rsidRPr="001111DE" w:rsidRDefault="001111DE" w:rsidP="001111DE">
      <w:pPr>
        <w:keepNext/>
        <w:keepLines/>
        <w:spacing w:before="120" w:after="80"/>
        <w:ind w:firstLine="0"/>
        <w:jc w:val="left"/>
        <w:outlineLvl w:val="2"/>
        <w:rPr>
          <w:rFonts w:eastAsia="MS Gothic"/>
          <w:b/>
          <w:bCs/>
          <w:shd w:val="clear" w:color="auto" w:fill="auto"/>
        </w:rPr>
      </w:pPr>
      <w:r w:rsidRPr="001111DE">
        <w:rPr>
          <w:rFonts w:eastAsia="Times New Roman"/>
          <w:b/>
          <w:bCs/>
          <w:shd w:val="clear" w:color="auto" w:fill="auto"/>
        </w:rPr>
        <w:t>2.1.1. Patient inclusion criteria</w:t>
      </w:r>
    </w:p>
    <w:p w:rsidR="001111DE" w:rsidRPr="001111DE" w:rsidRDefault="001111DE" w:rsidP="001111DE">
      <w:pPr>
        <w:spacing w:after="80"/>
        <w:ind w:firstLine="425"/>
        <w:rPr>
          <w:rFonts w:eastAsia="Times New Roman"/>
          <w:shd w:val="clear" w:color="auto" w:fill="auto"/>
        </w:rPr>
      </w:pPr>
      <w:r w:rsidRPr="001111DE">
        <w:rPr>
          <w:rFonts w:eastAsia="Times New Roman"/>
          <w:shd w:val="clear" w:color="auto" w:fill="auto"/>
        </w:rPr>
        <w:t xml:space="preserve">Patients were included when AF was documented on electrocardiography or 24-hour </w:t>
      </w:r>
      <w:proofErr w:type="spellStart"/>
      <w:r w:rsidRPr="001111DE">
        <w:rPr>
          <w:rFonts w:eastAsia="Times New Roman"/>
          <w:shd w:val="clear" w:color="auto" w:fill="auto"/>
        </w:rPr>
        <w:t>Holter</w:t>
      </w:r>
      <w:proofErr w:type="spellEnd"/>
      <w:r w:rsidRPr="001111DE">
        <w:rPr>
          <w:rFonts w:eastAsia="Times New Roman"/>
          <w:shd w:val="clear" w:color="auto" w:fill="auto"/>
        </w:rPr>
        <w:t xml:space="preserve"> electrocardiography; when they had paroxysmal or persistent AF; when catheter ablation for AF was indicated according to the 2020 ESC guidelines; and when they agreed to participate in the study.</w:t>
      </w:r>
    </w:p>
    <w:p w:rsidR="001111DE" w:rsidRPr="001111DE" w:rsidRDefault="001111DE" w:rsidP="001111DE">
      <w:pPr>
        <w:keepNext/>
        <w:keepLines/>
        <w:spacing w:before="120" w:after="80"/>
        <w:ind w:firstLine="0"/>
        <w:jc w:val="left"/>
        <w:outlineLvl w:val="2"/>
        <w:rPr>
          <w:rFonts w:eastAsia="MS Gothic"/>
          <w:b/>
          <w:bCs/>
          <w:shd w:val="clear" w:color="auto" w:fill="auto"/>
        </w:rPr>
      </w:pPr>
      <w:r w:rsidRPr="001111DE">
        <w:rPr>
          <w:rFonts w:eastAsia="Times New Roman"/>
          <w:b/>
          <w:bCs/>
          <w:shd w:val="clear" w:color="auto" w:fill="auto"/>
        </w:rPr>
        <w:t>2.1.2. Exclusion criteria</w:t>
      </w:r>
    </w:p>
    <w:p w:rsidR="001111DE" w:rsidRPr="001111DE" w:rsidRDefault="001111DE" w:rsidP="001111DE">
      <w:pPr>
        <w:spacing w:after="80"/>
        <w:ind w:firstLine="425"/>
        <w:rPr>
          <w:rFonts w:eastAsia="Times New Roman"/>
          <w:shd w:val="clear" w:color="auto" w:fill="auto"/>
        </w:rPr>
      </w:pPr>
      <w:r w:rsidRPr="001111DE">
        <w:rPr>
          <w:rFonts w:eastAsia="Times New Roman"/>
          <w:shd w:val="clear" w:color="auto" w:fill="auto"/>
        </w:rPr>
        <w:t xml:space="preserve">Patients were excluded if they had AF in the setting of severe structural heart disease, </w:t>
      </w:r>
      <w:proofErr w:type="spellStart"/>
      <w:r w:rsidRPr="001111DE">
        <w:rPr>
          <w:rFonts w:eastAsia="Times New Roman"/>
          <w:shd w:val="clear" w:color="auto" w:fill="auto"/>
        </w:rPr>
        <w:t>valvular</w:t>
      </w:r>
      <w:proofErr w:type="spellEnd"/>
      <w:r w:rsidRPr="001111DE">
        <w:rPr>
          <w:rFonts w:eastAsia="Times New Roman"/>
          <w:shd w:val="clear" w:color="auto" w:fill="auto"/>
        </w:rPr>
        <w:t xml:space="preserve"> heart disease requiring surgery, coronary artery disease requiring revascularization, advanced atrioventricular block, active </w:t>
      </w:r>
      <w:proofErr w:type="spellStart"/>
      <w:r w:rsidRPr="001111DE">
        <w:rPr>
          <w:rFonts w:eastAsia="Times New Roman"/>
          <w:shd w:val="clear" w:color="auto" w:fill="auto"/>
        </w:rPr>
        <w:t>Graves</w:t>
      </w:r>
      <w:proofErr w:type="spellEnd"/>
      <w:r w:rsidRPr="001111DE">
        <w:rPr>
          <w:rFonts w:eastAsia="Times New Roman"/>
          <w:shd w:val="clear" w:color="auto" w:fill="auto"/>
        </w:rPr>
        <w:t xml:space="preserve"> disease, acute infection, coagulation disorders, </w:t>
      </w:r>
      <w:proofErr w:type="spellStart"/>
      <w:r w:rsidRPr="001111DE">
        <w:rPr>
          <w:rFonts w:eastAsia="Times New Roman"/>
          <w:shd w:val="clear" w:color="auto" w:fill="auto"/>
        </w:rPr>
        <w:t>intracardiac</w:t>
      </w:r>
      <w:proofErr w:type="spellEnd"/>
      <w:r w:rsidRPr="001111DE">
        <w:rPr>
          <w:rFonts w:eastAsia="Times New Roman"/>
          <w:shd w:val="clear" w:color="auto" w:fill="auto"/>
        </w:rPr>
        <w:t xml:space="preserve"> thrombus, stroke within the preceding 3 months, renal failure, heart failure with low ejection fraction, or refusal to participate in the study.</w:t>
      </w:r>
    </w:p>
    <w:p w:rsidR="001111DE" w:rsidRPr="001111DE" w:rsidRDefault="001111DE" w:rsidP="001111DE">
      <w:pPr>
        <w:keepNext/>
        <w:keepLines/>
        <w:spacing w:before="120" w:after="80"/>
        <w:ind w:firstLine="0"/>
        <w:jc w:val="left"/>
        <w:outlineLvl w:val="2"/>
        <w:rPr>
          <w:rFonts w:eastAsia="MS Gothic"/>
          <w:b/>
          <w:bCs/>
          <w:shd w:val="clear" w:color="auto" w:fill="auto"/>
        </w:rPr>
      </w:pPr>
      <w:r w:rsidRPr="001111DE">
        <w:rPr>
          <w:rFonts w:eastAsia="Times New Roman"/>
          <w:b/>
          <w:bCs/>
          <w:shd w:val="clear" w:color="auto" w:fill="auto"/>
        </w:rPr>
        <w:t>2.1.3. Control-group selection criteria</w:t>
      </w:r>
    </w:p>
    <w:p w:rsidR="001111DE" w:rsidRPr="001111DE" w:rsidRDefault="001111DE" w:rsidP="001111DE">
      <w:pPr>
        <w:spacing w:after="80"/>
        <w:ind w:firstLine="425"/>
        <w:rPr>
          <w:rFonts w:eastAsia="Times New Roman"/>
          <w:shd w:val="clear" w:color="auto" w:fill="auto"/>
        </w:rPr>
      </w:pPr>
      <w:r w:rsidRPr="001111DE">
        <w:rPr>
          <w:rFonts w:eastAsia="Times New Roman"/>
          <w:shd w:val="clear" w:color="auto" w:fill="auto"/>
        </w:rPr>
        <w:t>The control group comprised 50 individuals with no history of AF, no symptoms suggestive of arrhythmia, normal 12-lead electrocardiography and echocardiography, and no evident cardiovascular or metabolic disease that could affect MMP-2 and OPN. The control group was used only for comparison of MMP-2 and OPN and was not included in the analysis of RFA outcomes.</w:t>
      </w:r>
    </w:p>
    <w:p w:rsidR="001111DE" w:rsidRPr="001111DE" w:rsidRDefault="001111DE" w:rsidP="001111DE">
      <w:pPr>
        <w:keepNext/>
        <w:keepLines/>
        <w:spacing w:before="120" w:after="80"/>
        <w:ind w:firstLine="0"/>
        <w:jc w:val="left"/>
        <w:outlineLvl w:val="1"/>
        <w:rPr>
          <w:rFonts w:eastAsia="MS Gothic"/>
          <w:b/>
          <w:bCs/>
          <w:shd w:val="clear" w:color="auto" w:fill="auto"/>
        </w:rPr>
      </w:pPr>
      <w:r w:rsidRPr="001111DE">
        <w:rPr>
          <w:rFonts w:eastAsia="Times New Roman"/>
          <w:b/>
          <w:bCs/>
          <w:shd w:val="clear" w:color="auto" w:fill="auto"/>
        </w:rPr>
        <w:lastRenderedPageBreak/>
        <w:t>2.2. Study methods</w:t>
      </w:r>
    </w:p>
    <w:p w:rsidR="001111DE" w:rsidRPr="001111DE" w:rsidRDefault="001111DE" w:rsidP="001111DE">
      <w:pPr>
        <w:keepNext/>
        <w:keepLines/>
        <w:spacing w:before="120" w:after="80"/>
        <w:ind w:firstLine="0"/>
        <w:jc w:val="left"/>
        <w:outlineLvl w:val="2"/>
        <w:rPr>
          <w:rFonts w:eastAsia="MS Gothic"/>
          <w:b/>
          <w:bCs/>
          <w:shd w:val="clear" w:color="auto" w:fill="auto"/>
        </w:rPr>
      </w:pPr>
      <w:r w:rsidRPr="001111DE">
        <w:rPr>
          <w:rFonts w:eastAsia="Times New Roman"/>
          <w:b/>
          <w:bCs/>
          <w:shd w:val="clear" w:color="auto" w:fill="auto"/>
        </w:rPr>
        <w:t>2.2.1. Study design</w:t>
      </w:r>
    </w:p>
    <w:p w:rsidR="001111DE" w:rsidRPr="001111DE" w:rsidRDefault="001111DE" w:rsidP="001111DE">
      <w:pPr>
        <w:spacing w:after="80"/>
        <w:ind w:firstLine="425"/>
        <w:rPr>
          <w:rFonts w:eastAsia="Times New Roman"/>
          <w:shd w:val="clear" w:color="auto" w:fill="auto"/>
        </w:rPr>
      </w:pPr>
      <w:r w:rsidRPr="001111DE">
        <w:rPr>
          <w:rFonts w:eastAsia="Times New Roman"/>
          <w:shd w:val="clear" w:color="auto" w:fill="auto"/>
        </w:rPr>
        <w:t>The study had two components: a cross-sectional descriptive component with a control comparison to investigate left atrial morphology and concentrations of NT-</w:t>
      </w:r>
      <w:proofErr w:type="spellStart"/>
      <w:r w:rsidRPr="001111DE">
        <w:rPr>
          <w:rFonts w:eastAsia="Times New Roman"/>
          <w:shd w:val="clear" w:color="auto" w:fill="auto"/>
        </w:rPr>
        <w:t>proBNP</w:t>
      </w:r>
      <w:proofErr w:type="spellEnd"/>
      <w:r w:rsidRPr="001111DE">
        <w:rPr>
          <w:rFonts w:eastAsia="Times New Roman"/>
          <w:shd w:val="clear" w:color="auto" w:fill="auto"/>
        </w:rPr>
        <w:t>, MMP-2, and OPN in 110 patients with AF; and a longitudinal post-intervention follow-up component to evaluate RFA outcomes and factors associated with recurrence in 54 patients who had complete follow-up data at 3 and 6 months.</w:t>
      </w:r>
    </w:p>
    <w:p w:rsidR="001111DE" w:rsidRPr="001111DE" w:rsidRDefault="001111DE" w:rsidP="001111DE">
      <w:pPr>
        <w:keepNext/>
        <w:keepLines/>
        <w:spacing w:before="120" w:after="80"/>
        <w:ind w:firstLine="0"/>
        <w:jc w:val="left"/>
        <w:outlineLvl w:val="2"/>
        <w:rPr>
          <w:rFonts w:eastAsia="MS Gothic"/>
          <w:b/>
          <w:bCs/>
          <w:shd w:val="clear" w:color="auto" w:fill="auto"/>
        </w:rPr>
      </w:pPr>
      <w:r w:rsidRPr="001111DE">
        <w:rPr>
          <w:rFonts w:eastAsia="Times New Roman"/>
          <w:b/>
          <w:bCs/>
          <w:shd w:val="clear" w:color="auto" w:fill="auto"/>
        </w:rPr>
        <w:t>2.2.2. Sample size and sampling method</w:t>
      </w:r>
    </w:p>
    <w:p w:rsidR="001111DE" w:rsidRPr="001111DE" w:rsidRDefault="001111DE" w:rsidP="001111DE">
      <w:pPr>
        <w:spacing w:after="80"/>
        <w:ind w:firstLine="425"/>
        <w:rPr>
          <w:rFonts w:eastAsia="Times New Roman"/>
          <w:shd w:val="clear" w:color="auto" w:fill="auto"/>
        </w:rPr>
      </w:pPr>
      <w:r w:rsidRPr="001111DE">
        <w:rPr>
          <w:rFonts w:eastAsia="Times New Roman"/>
          <w:shd w:val="clear" w:color="auto" w:fill="auto"/>
        </w:rPr>
        <w:t>The minimum sample size was calculated using the formula for estimating a single proportion, with p = 0.80 as the sinus rhythm maintenance rate after RFA reported in the literature, a 95% confidence level, and a relative error of 15%, yielding a minimum requirement of 43 patients.</w:t>
      </w:r>
    </w:p>
    <w:p w:rsidR="001111DE" w:rsidRPr="001111DE" w:rsidRDefault="001111DE" w:rsidP="001111DE">
      <w:pPr>
        <w:spacing w:after="80"/>
        <w:ind w:firstLine="425"/>
        <w:rPr>
          <w:rFonts w:eastAsia="Times New Roman"/>
          <w:shd w:val="clear" w:color="auto" w:fill="auto"/>
        </w:rPr>
      </w:pPr>
      <w:r w:rsidRPr="001111DE">
        <w:rPr>
          <w:rFonts w:eastAsia="Times New Roman"/>
          <w:shd w:val="clear" w:color="auto" w:fill="auto"/>
        </w:rPr>
        <w:t>The study enrolled 110 patients for Objective 1. Among these, 54 patients with standardized follow-up data after RFA were included in the analysis for Objective 2; prognostic analyses were interpreted cautiously as exploratory findings in the subgroup with complete follow-up.</w:t>
      </w:r>
    </w:p>
    <w:p w:rsidR="001111DE" w:rsidRPr="001111DE" w:rsidRDefault="001111DE" w:rsidP="001111DE">
      <w:pPr>
        <w:keepNext/>
        <w:keepLines/>
        <w:spacing w:before="120" w:after="80"/>
        <w:ind w:firstLine="0"/>
        <w:jc w:val="left"/>
        <w:outlineLvl w:val="2"/>
        <w:rPr>
          <w:rFonts w:eastAsia="MS Gothic"/>
          <w:b/>
          <w:bCs/>
          <w:shd w:val="clear" w:color="auto" w:fill="auto"/>
        </w:rPr>
      </w:pPr>
      <w:r w:rsidRPr="001111DE">
        <w:rPr>
          <w:rFonts w:eastAsia="Times New Roman"/>
          <w:b/>
          <w:bCs/>
          <w:shd w:val="clear" w:color="auto" w:fill="auto"/>
        </w:rPr>
        <w:t>2.2.3. Study procedures</w:t>
      </w:r>
    </w:p>
    <w:p w:rsidR="001111DE" w:rsidRPr="001111DE" w:rsidRDefault="001111DE" w:rsidP="001111DE">
      <w:pPr>
        <w:keepNext/>
        <w:keepLines/>
        <w:spacing w:before="120" w:after="80"/>
        <w:ind w:firstLine="0"/>
        <w:jc w:val="left"/>
        <w:outlineLvl w:val="3"/>
        <w:rPr>
          <w:rFonts w:eastAsia="MS Gothic"/>
          <w:b/>
          <w:bCs/>
          <w:i/>
          <w:iCs/>
          <w:shd w:val="clear" w:color="auto" w:fill="auto"/>
        </w:rPr>
      </w:pPr>
      <w:r w:rsidRPr="001111DE">
        <w:rPr>
          <w:rFonts w:eastAsia="Times New Roman"/>
          <w:b/>
          <w:bCs/>
          <w:i/>
          <w:iCs/>
          <w:shd w:val="clear" w:color="auto" w:fill="auto"/>
        </w:rPr>
        <w:t>2.2.3.1. Clinical examination</w:t>
      </w:r>
    </w:p>
    <w:p w:rsidR="001111DE" w:rsidRPr="001111DE" w:rsidRDefault="001111DE" w:rsidP="001111DE">
      <w:pPr>
        <w:spacing w:after="80"/>
        <w:ind w:firstLine="425"/>
        <w:rPr>
          <w:rFonts w:eastAsia="Times New Roman"/>
          <w:shd w:val="clear" w:color="auto" w:fill="auto"/>
        </w:rPr>
      </w:pPr>
      <w:r w:rsidRPr="001111DE">
        <w:rPr>
          <w:rFonts w:eastAsia="Times New Roman"/>
          <w:shd w:val="clear" w:color="auto" w:fill="auto"/>
        </w:rPr>
        <w:t>All participants underwent medical history taking and comprehensive clinical examination at admission. Key information included the time since AF detection, AF type, symptoms during episodes, EHRA class, treatment history, anticoagulant use, comorbidities, cardiovascular risk factors, blood pressure, heart rate, height, weight, and BMI.</w:t>
      </w:r>
    </w:p>
    <w:p w:rsidR="001111DE" w:rsidRPr="001111DE" w:rsidRDefault="001111DE" w:rsidP="001111DE">
      <w:pPr>
        <w:keepNext/>
        <w:keepLines/>
        <w:spacing w:before="120" w:after="80"/>
        <w:ind w:firstLine="0"/>
        <w:jc w:val="left"/>
        <w:outlineLvl w:val="3"/>
        <w:rPr>
          <w:rFonts w:eastAsia="MS Gothic"/>
          <w:b/>
          <w:bCs/>
          <w:i/>
          <w:iCs/>
          <w:shd w:val="clear" w:color="auto" w:fill="auto"/>
        </w:rPr>
      </w:pPr>
      <w:r w:rsidRPr="001111DE">
        <w:rPr>
          <w:rFonts w:eastAsia="Times New Roman"/>
          <w:b/>
          <w:bCs/>
          <w:i/>
          <w:iCs/>
          <w:shd w:val="clear" w:color="auto" w:fill="auto"/>
        </w:rPr>
        <w:lastRenderedPageBreak/>
        <w:t xml:space="preserve">2.2.3.2. </w:t>
      </w:r>
      <w:proofErr w:type="spellStart"/>
      <w:r w:rsidRPr="001111DE">
        <w:rPr>
          <w:rFonts w:eastAsia="Times New Roman"/>
          <w:b/>
          <w:bCs/>
          <w:i/>
          <w:iCs/>
          <w:shd w:val="clear" w:color="auto" w:fill="auto"/>
        </w:rPr>
        <w:t>Paraclinical</w:t>
      </w:r>
      <w:proofErr w:type="spellEnd"/>
      <w:r w:rsidRPr="001111DE">
        <w:rPr>
          <w:rFonts w:eastAsia="Times New Roman"/>
          <w:b/>
          <w:bCs/>
          <w:i/>
          <w:iCs/>
          <w:shd w:val="clear" w:color="auto" w:fill="auto"/>
        </w:rPr>
        <w:t xml:space="preserve"> investigations</w:t>
      </w:r>
    </w:p>
    <w:p w:rsidR="001111DE" w:rsidRPr="001111DE" w:rsidRDefault="001111DE" w:rsidP="001111DE">
      <w:pPr>
        <w:spacing w:after="80"/>
        <w:ind w:firstLine="425"/>
        <w:rPr>
          <w:rFonts w:eastAsia="Times New Roman"/>
          <w:shd w:val="clear" w:color="auto" w:fill="auto"/>
        </w:rPr>
      </w:pPr>
      <w:r w:rsidRPr="001111DE">
        <w:rPr>
          <w:rFonts w:eastAsia="Times New Roman"/>
          <w:shd w:val="clear" w:color="auto" w:fill="auto"/>
        </w:rPr>
        <w:t xml:space="preserve">Basic investigations included complete blood count, coagulation testing, blood glucose, electrolytes, urea, creatinine, liver enzymes, and thyroid function. Twelve-lead electrocardiography and 24-hour </w:t>
      </w:r>
      <w:proofErr w:type="spellStart"/>
      <w:r w:rsidRPr="001111DE">
        <w:rPr>
          <w:rFonts w:eastAsia="Times New Roman"/>
          <w:shd w:val="clear" w:color="auto" w:fill="auto"/>
        </w:rPr>
        <w:t>Holter</w:t>
      </w:r>
      <w:proofErr w:type="spellEnd"/>
      <w:r w:rsidRPr="001111DE">
        <w:rPr>
          <w:rFonts w:eastAsia="Times New Roman"/>
          <w:shd w:val="clear" w:color="auto" w:fill="auto"/>
        </w:rPr>
        <w:t xml:space="preserve"> electrocardiography were performed to confirm AF, assess heart rate, and detect concomitant arrhythmias.</w:t>
      </w:r>
    </w:p>
    <w:p w:rsidR="001111DE" w:rsidRPr="001111DE" w:rsidRDefault="001111DE" w:rsidP="001111DE">
      <w:pPr>
        <w:spacing w:after="80"/>
        <w:ind w:firstLine="425"/>
        <w:rPr>
          <w:rFonts w:eastAsia="Times New Roman"/>
          <w:shd w:val="clear" w:color="auto" w:fill="auto"/>
        </w:rPr>
      </w:pPr>
      <w:r w:rsidRPr="001111DE">
        <w:rPr>
          <w:rFonts w:eastAsia="Times New Roman"/>
          <w:shd w:val="clear" w:color="auto" w:fill="auto"/>
        </w:rPr>
        <w:t xml:space="preserve">Transthoracic echocardiography was performed in all patients to assess LAD, </w:t>
      </w:r>
      <w:proofErr w:type="spellStart"/>
      <w:r w:rsidRPr="001111DE">
        <w:rPr>
          <w:rFonts w:eastAsia="Times New Roman"/>
          <w:shd w:val="clear" w:color="auto" w:fill="auto"/>
        </w:rPr>
        <w:t>LADi</w:t>
      </w:r>
      <w:proofErr w:type="spellEnd"/>
      <w:r w:rsidRPr="001111DE">
        <w:rPr>
          <w:rFonts w:eastAsia="Times New Roman"/>
          <w:shd w:val="clear" w:color="auto" w:fill="auto"/>
        </w:rPr>
        <w:t xml:space="preserve">, and left ventricular function. Left atrium-pulmonary vein CT was performed in 87 patients to reconstruct left atrial anatomy and measure the anteroposterior, transverse, and </w:t>
      </w:r>
      <w:proofErr w:type="spellStart"/>
      <w:r w:rsidRPr="001111DE">
        <w:rPr>
          <w:rFonts w:eastAsia="Times New Roman"/>
          <w:shd w:val="clear" w:color="auto" w:fill="auto"/>
        </w:rPr>
        <w:t>superoinferior</w:t>
      </w:r>
      <w:proofErr w:type="spellEnd"/>
      <w:r w:rsidRPr="001111DE">
        <w:rPr>
          <w:rFonts w:eastAsia="Times New Roman"/>
          <w:shd w:val="clear" w:color="auto" w:fill="auto"/>
        </w:rPr>
        <w:t xml:space="preserve"> left atrial diameters and pulmonary vein diameters for PVI planning.</w:t>
      </w:r>
    </w:p>
    <w:p w:rsidR="001111DE" w:rsidRPr="001111DE" w:rsidRDefault="001111DE" w:rsidP="001111DE">
      <w:pPr>
        <w:keepNext/>
        <w:keepLines/>
        <w:spacing w:before="120" w:after="80"/>
        <w:ind w:firstLine="0"/>
        <w:jc w:val="left"/>
        <w:outlineLvl w:val="3"/>
        <w:rPr>
          <w:rFonts w:eastAsia="MS Gothic"/>
          <w:b/>
          <w:bCs/>
          <w:i/>
          <w:iCs/>
          <w:shd w:val="clear" w:color="auto" w:fill="auto"/>
        </w:rPr>
      </w:pPr>
      <w:r w:rsidRPr="001111DE">
        <w:rPr>
          <w:rFonts w:eastAsia="Times New Roman"/>
          <w:b/>
          <w:bCs/>
          <w:i/>
          <w:iCs/>
          <w:shd w:val="clear" w:color="auto" w:fill="auto"/>
        </w:rPr>
        <w:t>2.2.3.3. Collection and storage of plasma samples for quantitative MMP-2 and OPN assays</w:t>
      </w:r>
    </w:p>
    <w:p w:rsidR="001111DE" w:rsidRPr="001111DE" w:rsidRDefault="001111DE" w:rsidP="001111DE">
      <w:pPr>
        <w:spacing w:after="80"/>
        <w:ind w:firstLine="425"/>
        <w:rPr>
          <w:rFonts w:eastAsia="Times New Roman"/>
          <w:shd w:val="clear" w:color="auto" w:fill="auto"/>
        </w:rPr>
      </w:pPr>
      <w:r w:rsidRPr="001111DE">
        <w:rPr>
          <w:rFonts w:eastAsia="Times New Roman"/>
          <w:shd w:val="clear" w:color="auto" w:fill="auto"/>
        </w:rPr>
        <w:t>Blood samples for quantitative MMP-2 and OPN assays were collected before the RFA procedure. In all 110 patients and 50 controls, 2 mL of venous blood was collected into an EDTA tube, centrifuged to separate plasma, transported under cold-chain conditions, and stored at -80 °C until testing; samples were thawed once before analysis.</w:t>
      </w:r>
    </w:p>
    <w:p w:rsidR="001111DE" w:rsidRPr="001111DE" w:rsidRDefault="001111DE" w:rsidP="001111DE">
      <w:pPr>
        <w:keepNext/>
        <w:keepLines/>
        <w:spacing w:before="120" w:after="80"/>
        <w:ind w:firstLine="0"/>
        <w:jc w:val="left"/>
        <w:outlineLvl w:val="2"/>
        <w:rPr>
          <w:rFonts w:eastAsia="MS Gothic"/>
          <w:b/>
          <w:bCs/>
          <w:shd w:val="clear" w:color="auto" w:fill="auto"/>
        </w:rPr>
      </w:pPr>
      <w:r w:rsidRPr="001111DE">
        <w:rPr>
          <w:rFonts w:eastAsia="Times New Roman"/>
          <w:b/>
          <w:bCs/>
          <w:shd w:val="clear" w:color="auto" w:fill="auto"/>
        </w:rPr>
        <w:t>2.2.4. Quantification of MMP-2, OPN, and NT-</w:t>
      </w:r>
      <w:proofErr w:type="spellStart"/>
      <w:r w:rsidRPr="001111DE">
        <w:rPr>
          <w:rFonts w:eastAsia="Times New Roman"/>
          <w:b/>
          <w:bCs/>
          <w:shd w:val="clear" w:color="auto" w:fill="auto"/>
        </w:rPr>
        <w:t>proBNP</w:t>
      </w:r>
      <w:proofErr w:type="spellEnd"/>
    </w:p>
    <w:p w:rsidR="001111DE" w:rsidRPr="001111DE" w:rsidRDefault="001111DE" w:rsidP="001111DE">
      <w:pPr>
        <w:keepNext/>
        <w:keepLines/>
        <w:spacing w:before="120" w:after="80"/>
        <w:ind w:firstLine="0"/>
        <w:jc w:val="left"/>
        <w:outlineLvl w:val="3"/>
        <w:rPr>
          <w:rFonts w:eastAsia="MS Gothic"/>
          <w:b/>
          <w:bCs/>
          <w:i/>
          <w:iCs/>
          <w:shd w:val="clear" w:color="auto" w:fill="auto"/>
        </w:rPr>
      </w:pPr>
      <w:r w:rsidRPr="001111DE">
        <w:rPr>
          <w:rFonts w:eastAsia="Times New Roman"/>
          <w:b/>
          <w:bCs/>
          <w:i/>
          <w:iCs/>
          <w:shd w:val="clear" w:color="auto" w:fill="auto"/>
        </w:rPr>
        <w:t>2.2.4.1. General principle of the ELISA technique</w:t>
      </w:r>
    </w:p>
    <w:p w:rsidR="001111DE" w:rsidRPr="001111DE" w:rsidRDefault="001111DE" w:rsidP="001111DE">
      <w:pPr>
        <w:spacing w:after="80"/>
        <w:ind w:firstLine="425"/>
        <w:rPr>
          <w:rFonts w:eastAsia="Times New Roman"/>
          <w:shd w:val="clear" w:color="auto" w:fill="auto"/>
        </w:rPr>
      </w:pPr>
      <w:r w:rsidRPr="001111DE">
        <w:rPr>
          <w:rFonts w:eastAsia="Times New Roman"/>
          <w:shd w:val="clear" w:color="auto" w:fill="auto"/>
        </w:rPr>
        <w:t>MMP-2 and OPN were quantified using sandwich ELISA, based on the specific reaction between the antigen in the sample and the antibody immobilized on the microplate, followed by an enzyme-conjugated detection antibody. NT-</w:t>
      </w:r>
      <w:proofErr w:type="spellStart"/>
      <w:r w:rsidRPr="001111DE">
        <w:rPr>
          <w:rFonts w:eastAsia="Times New Roman"/>
          <w:shd w:val="clear" w:color="auto" w:fill="auto"/>
        </w:rPr>
        <w:t>proBNP</w:t>
      </w:r>
      <w:proofErr w:type="spellEnd"/>
      <w:r w:rsidRPr="001111DE">
        <w:rPr>
          <w:rFonts w:eastAsia="Times New Roman"/>
          <w:shd w:val="clear" w:color="auto" w:fill="auto"/>
        </w:rPr>
        <w:t xml:space="preserve"> was quantified according to the hospitals' routine pre-procedural testing protocols.</w:t>
      </w:r>
    </w:p>
    <w:p w:rsidR="001111DE" w:rsidRPr="001111DE" w:rsidRDefault="001111DE" w:rsidP="001111DE">
      <w:pPr>
        <w:keepNext/>
        <w:keepLines/>
        <w:spacing w:before="120" w:after="80"/>
        <w:ind w:firstLine="0"/>
        <w:jc w:val="left"/>
        <w:outlineLvl w:val="3"/>
        <w:rPr>
          <w:rFonts w:eastAsia="MS Gothic"/>
          <w:b/>
          <w:bCs/>
          <w:i/>
          <w:iCs/>
          <w:shd w:val="clear" w:color="auto" w:fill="auto"/>
        </w:rPr>
      </w:pPr>
      <w:r w:rsidRPr="001111DE">
        <w:rPr>
          <w:rFonts w:eastAsia="Times New Roman"/>
          <w:b/>
          <w:bCs/>
          <w:i/>
          <w:iCs/>
          <w:shd w:val="clear" w:color="auto" w:fill="auto"/>
        </w:rPr>
        <w:t>2.2.4.2. Equipment and testing location</w:t>
      </w:r>
    </w:p>
    <w:p w:rsidR="001111DE" w:rsidRPr="001111DE" w:rsidRDefault="001111DE" w:rsidP="001111DE">
      <w:pPr>
        <w:spacing w:after="80"/>
        <w:ind w:firstLine="425"/>
        <w:rPr>
          <w:rFonts w:eastAsia="Times New Roman"/>
          <w:shd w:val="clear" w:color="auto" w:fill="auto"/>
        </w:rPr>
      </w:pPr>
      <w:r w:rsidRPr="001111DE">
        <w:rPr>
          <w:rFonts w:eastAsia="Times New Roman"/>
          <w:shd w:val="clear" w:color="auto" w:fill="auto"/>
        </w:rPr>
        <w:t xml:space="preserve">The study used the </w:t>
      </w:r>
      <w:proofErr w:type="spellStart"/>
      <w:r w:rsidRPr="001111DE">
        <w:rPr>
          <w:rFonts w:eastAsia="Times New Roman"/>
          <w:shd w:val="clear" w:color="auto" w:fill="auto"/>
        </w:rPr>
        <w:t>Proteintech</w:t>
      </w:r>
      <w:proofErr w:type="spellEnd"/>
      <w:r w:rsidRPr="001111DE">
        <w:rPr>
          <w:rFonts w:eastAsia="Times New Roman"/>
          <w:shd w:val="clear" w:color="auto" w:fill="auto"/>
        </w:rPr>
        <w:t xml:space="preserve"> MMP-2 ELISA Kit (catalog code KE00077) and </w:t>
      </w:r>
      <w:proofErr w:type="spellStart"/>
      <w:r w:rsidRPr="001111DE">
        <w:rPr>
          <w:rFonts w:eastAsia="Times New Roman"/>
          <w:shd w:val="clear" w:color="auto" w:fill="auto"/>
        </w:rPr>
        <w:t>Proteintech</w:t>
      </w:r>
      <w:proofErr w:type="spellEnd"/>
      <w:r w:rsidRPr="001111DE">
        <w:rPr>
          <w:rFonts w:eastAsia="Times New Roman"/>
          <w:shd w:val="clear" w:color="auto" w:fill="auto"/>
        </w:rPr>
        <w:t xml:space="preserve"> OPN ELISA Kit (catalog code KE00233). </w:t>
      </w:r>
      <w:r w:rsidRPr="001111DE">
        <w:rPr>
          <w:rFonts w:eastAsia="Times New Roman"/>
          <w:shd w:val="clear" w:color="auto" w:fill="auto"/>
        </w:rPr>
        <w:lastRenderedPageBreak/>
        <w:t>The assay reactions were performed on a DAR 800 ELISA reader at the Laboratory of the Department of Pathophysiology, Vietnam Military Medical University.</w:t>
      </w:r>
    </w:p>
    <w:p w:rsidR="001111DE" w:rsidRPr="001111DE" w:rsidRDefault="001111DE" w:rsidP="001111DE">
      <w:pPr>
        <w:keepNext/>
        <w:keepLines/>
        <w:spacing w:before="120" w:after="80"/>
        <w:ind w:firstLine="0"/>
        <w:jc w:val="left"/>
        <w:outlineLvl w:val="2"/>
        <w:rPr>
          <w:rFonts w:eastAsia="MS Gothic"/>
          <w:b/>
          <w:bCs/>
          <w:shd w:val="clear" w:color="auto" w:fill="auto"/>
        </w:rPr>
      </w:pPr>
      <w:r w:rsidRPr="001111DE">
        <w:rPr>
          <w:rFonts w:eastAsia="Times New Roman"/>
          <w:b/>
          <w:bCs/>
          <w:shd w:val="clear" w:color="auto" w:fill="auto"/>
        </w:rPr>
        <w:t>2.2.5. Radiofrequency catheter ablation for atrial fibrillation and post-ablation follow-up</w:t>
      </w:r>
    </w:p>
    <w:p w:rsidR="001111DE" w:rsidRPr="001111DE" w:rsidRDefault="001111DE" w:rsidP="001111DE">
      <w:pPr>
        <w:spacing w:after="80"/>
        <w:ind w:firstLine="425"/>
        <w:rPr>
          <w:rFonts w:eastAsia="Times New Roman"/>
          <w:shd w:val="clear" w:color="auto" w:fill="auto"/>
        </w:rPr>
      </w:pPr>
      <w:r w:rsidRPr="001111DE">
        <w:rPr>
          <w:rFonts w:eastAsia="Times New Roman"/>
          <w:shd w:val="clear" w:color="auto" w:fill="auto"/>
        </w:rPr>
        <w:t>The intervention strategy for the entire study cohort was stand-alone PVI using point-by-point RFA under the guidance of a 3D mapping system; no additional ablation lines were performed. Procedural success at the end of the intervention was defined as restoration of sinus rhythm and achievement of bidirectional block between the pulmonary veins and the left atrium.</w:t>
      </w:r>
    </w:p>
    <w:p w:rsidR="001111DE" w:rsidRPr="001111DE" w:rsidRDefault="001111DE" w:rsidP="001111DE">
      <w:pPr>
        <w:spacing w:after="80"/>
        <w:ind w:firstLine="425"/>
        <w:rPr>
          <w:rFonts w:eastAsia="Times New Roman"/>
          <w:shd w:val="clear" w:color="auto" w:fill="auto"/>
        </w:rPr>
      </w:pPr>
      <w:r w:rsidRPr="001111DE">
        <w:rPr>
          <w:rFonts w:eastAsia="Times New Roman"/>
          <w:shd w:val="clear" w:color="auto" w:fill="auto"/>
        </w:rPr>
        <w:t>After the procedure, patients were monitored for early complications, underwent echocardiography when indicated, and continued oral anticoagulation according to thromboembolic risk and current recommendations. Antiarrhythmic drugs could be maintained during the first 3 months to reduce early recurrence during the blanking period.</w:t>
      </w:r>
    </w:p>
    <w:p w:rsidR="001111DE" w:rsidRPr="001111DE" w:rsidRDefault="001111DE" w:rsidP="001111DE">
      <w:pPr>
        <w:spacing w:after="80"/>
        <w:ind w:firstLine="425"/>
        <w:rPr>
          <w:rFonts w:eastAsia="Times New Roman"/>
          <w:shd w:val="clear" w:color="auto" w:fill="auto"/>
        </w:rPr>
      </w:pPr>
      <w:r w:rsidRPr="001111DE">
        <w:rPr>
          <w:rFonts w:eastAsia="Times New Roman"/>
          <w:shd w:val="clear" w:color="auto" w:fill="auto"/>
        </w:rPr>
        <w:t xml:space="preserve">Follow-up visits were scheduled at 3 and 6 months after RFA. At each visit, symptoms were reviewed, EHRA class was assessed, and 12-lead electrocardiography and 24-hour </w:t>
      </w:r>
      <w:proofErr w:type="spellStart"/>
      <w:r w:rsidRPr="001111DE">
        <w:rPr>
          <w:rFonts w:eastAsia="Times New Roman"/>
          <w:shd w:val="clear" w:color="auto" w:fill="auto"/>
        </w:rPr>
        <w:t>Holter</w:t>
      </w:r>
      <w:proofErr w:type="spellEnd"/>
      <w:r w:rsidRPr="001111DE">
        <w:rPr>
          <w:rFonts w:eastAsia="Times New Roman"/>
          <w:shd w:val="clear" w:color="auto" w:fill="auto"/>
        </w:rPr>
        <w:t xml:space="preserve"> electrocardiography were performed. Recurrence was defined as documented AF, atrial flutter, or atrial tachycardia lasting ≥ 30 seconds; the 6-month time point was used as the primary outcome.</w:t>
      </w:r>
    </w:p>
    <w:p w:rsidR="001111DE" w:rsidRPr="001111DE" w:rsidRDefault="001111DE" w:rsidP="001111DE">
      <w:pPr>
        <w:keepNext/>
        <w:keepLines/>
        <w:spacing w:before="120" w:after="80"/>
        <w:ind w:firstLine="0"/>
        <w:jc w:val="left"/>
        <w:outlineLvl w:val="1"/>
        <w:rPr>
          <w:rFonts w:eastAsia="MS Gothic"/>
          <w:b/>
          <w:bCs/>
          <w:shd w:val="clear" w:color="auto" w:fill="auto"/>
        </w:rPr>
      </w:pPr>
      <w:r w:rsidRPr="001111DE">
        <w:rPr>
          <w:rFonts w:eastAsia="Times New Roman"/>
          <w:b/>
          <w:bCs/>
          <w:shd w:val="clear" w:color="auto" w:fill="auto"/>
        </w:rPr>
        <w:t>2.3. Data analysis and processing</w:t>
      </w:r>
    </w:p>
    <w:p w:rsidR="001111DE" w:rsidRPr="001111DE" w:rsidRDefault="001111DE" w:rsidP="001111DE">
      <w:pPr>
        <w:spacing w:after="80"/>
        <w:ind w:firstLine="425"/>
        <w:rPr>
          <w:rFonts w:eastAsia="Times New Roman"/>
          <w:shd w:val="clear" w:color="auto" w:fill="auto"/>
        </w:rPr>
      </w:pPr>
      <w:r w:rsidRPr="001111DE">
        <w:rPr>
          <w:rFonts w:eastAsia="Times New Roman"/>
          <w:shd w:val="clear" w:color="auto" w:fill="auto"/>
        </w:rPr>
        <w:t xml:space="preserve">Data were entered in Excel and analyzed using SPSS 23.0. Quantitative variables were presented as mean ± standard deviation or median (Q1-Q3); categorical variables were presented as frequencies and percentages. Between-group comparisons used Student's t-test, the Mann-Whitney U test, the chi-square test, or Fisher's exact test; correlations were assessed by Pearson or Spearman methods. ROC analysis, odds ratios, and logistic regression were used to investigate </w:t>
      </w:r>
      <w:r w:rsidRPr="001111DE">
        <w:rPr>
          <w:rFonts w:eastAsia="Times New Roman"/>
          <w:shd w:val="clear" w:color="auto" w:fill="auto"/>
        </w:rPr>
        <w:lastRenderedPageBreak/>
        <w:t>factors associated with recurrence; p &lt; 0.05 was considered statistically significant.</w:t>
      </w:r>
    </w:p>
    <w:p w:rsidR="001111DE" w:rsidRPr="001111DE" w:rsidRDefault="001111DE" w:rsidP="001111DE">
      <w:pPr>
        <w:keepNext/>
        <w:keepLines/>
        <w:spacing w:before="120" w:after="80"/>
        <w:ind w:firstLine="0"/>
        <w:jc w:val="left"/>
        <w:outlineLvl w:val="1"/>
        <w:rPr>
          <w:rFonts w:eastAsia="MS Gothic"/>
          <w:b/>
          <w:bCs/>
          <w:shd w:val="clear" w:color="auto" w:fill="auto"/>
        </w:rPr>
      </w:pPr>
      <w:r w:rsidRPr="001111DE">
        <w:rPr>
          <w:rFonts w:eastAsia="Times New Roman"/>
          <w:b/>
          <w:bCs/>
          <w:shd w:val="clear" w:color="auto" w:fill="auto"/>
        </w:rPr>
        <w:t>2.4. Research ethics</w:t>
      </w:r>
    </w:p>
    <w:p w:rsidR="001111DE" w:rsidRPr="001111DE" w:rsidRDefault="001111DE" w:rsidP="001111DE">
      <w:pPr>
        <w:spacing w:after="80"/>
        <w:ind w:firstLine="425"/>
        <w:rPr>
          <w:rFonts w:eastAsia="Times New Roman"/>
          <w:shd w:val="clear" w:color="auto" w:fill="auto"/>
        </w:rPr>
      </w:pPr>
      <w:r w:rsidRPr="001111DE">
        <w:rPr>
          <w:rFonts w:eastAsia="Times New Roman"/>
          <w:shd w:val="clear" w:color="auto" w:fill="auto"/>
        </w:rPr>
        <w:t>The study was approved by the Biomedical Research Ethics Committee of Military Hospital 103 under approval No. 185/2021/</w:t>
      </w:r>
      <w:proofErr w:type="spellStart"/>
      <w:r w:rsidRPr="001111DE">
        <w:rPr>
          <w:rFonts w:eastAsia="Times New Roman"/>
          <w:shd w:val="clear" w:color="auto" w:fill="auto"/>
        </w:rPr>
        <w:t>CNChT</w:t>
      </w:r>
      <w:proofErr w:type="spellEnd"/>
      <w:r w:rsidRPr="001111DE">
        <w:rPr>
          <w:rFonts w:eastAsia="Times New Roman"/>
          <w:shd w:val="clear" w:color="auto" w:fill="auto"/>
        </w:rPr>
        <w:t>-HĐĐĐ dated 12 August 2021. Patient information was coded, kept confidential, and used solely for research purposes; additional tests did not affect routine treatment and generated no additional costs for patients.</w:t>
      </w:r>
    </w:p>
    <w:p w:rsidR="00E333CA" w:rsidRDefault="00E333CA" w:rsidP="00E333CA">
      <w:pPr>
        <w:spacing w:line="340" w:lineRule="exact"/>
        <w:ind w:firstLine="284"/>
        <w:jc w:val="center"/>
        <w:rPr>
          <w:rFonts w:eastAsia="Times New Roman"/>
          <w:b/>
          <w:shd w:val="clear" w:color="auto" w:fill="auto"/>
        </w:rPr>
      </w:pPr>
      <w:r>
        <w:rPr>
          <w:b/>
        </w:rPr>
        <w:t>Study flowchart</w:t>
      </w:r>
    </w:p>
    <w:p w:rsidR="00E333CA" w:rsidRPr="00E333CA" w:rsidRDefault="00E333CA" w:rsidP="00E333CA">
      <w:pPr>
        <w:spacing w:line="340" w:lineRule="exact"/>
        <w:ind w:firstLine="284"/>
        <w:jc w:val="center"/>
        <w:rPr>
          <w:rFonts w:eastAsia="Times New Roman"/>
          <w:b/>
          <w:shd w:val="clear" w:color="auto" w:fill="auto"/>
        </w:rPr>
      </w:pPr>
    </w:p>
    <w:p w:rsidR="00E41719" w:rsidRDefault="00E333CA" w:rsidP="00E333CA">
      <w:pPr>
        <w:spacing w:after="200"/>
        <w:ind w:firstLine="0"/>
        <w:jc w:val="left"/>
        <w:rPr>
          <w:lang w:val="en-GB" w:eastAsia="en-GB"/>
        </w:rPr>
      </w:pPr>
      <w:r>
        <w:rPr>
          <w:noProof/>
          <w:lang w:val="en-GB" w:eastAsia="en-GB"/>
        </w:rPr>
        <w:drawing>
          <wp:inline distT="0" distB="0" distL="0" distR="0" wp14:anchorId="2EB2A84D" wp14:editId="11CBF9C4">
            <wp:extent cx="3902075" cy="3603009"/>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78778" cy="3673833"/>
                    </a:xfrm>
                    <a:prstGeom prst="rect">
                      <a:avLst/>
                    </a:prstGeom>
                    <a:noFill/>
                  </pic:spPr>
                </pic:pic>
              </a:graphicData>
            </a:graphic>
          </wp:inline>
        </w:drawing>
      </w:r>
    </w:p>
    <w:p w:rsidR="00742F10" w:rsidRPr="00742F10" w:rsidRDefault="00CD7173" w:rsidP="00742F10">
      <w:pPr>
        <w:pStyle w:val="Heading1"/>
        <w:rPr>
          <w:rFonts w:eastAsia="MS Gothic"/>
          <w:bCs/>
          <w:noProof w:val="0"/>
          <w:shd w:val="clear" w:color="auto" w:fill="auto"/>
          <w:lang w:val="en-US"/>
        </w:rPr>
      </w:pPr>
      <w:r>
        <w:br w:type="page"/>
      </w:r>
      <w:r w:rsidR="00742F10" w:rsidRPr="00742F10">
        <w:rPr>
          <w:bCs/>
          <w:noProof w:val="0"/>
          <w:shd w:val="clear" w:color="auto" w:fill="auto"/>
          <w:lang w:val="en-US"/>
        </w:rPr>
        <w:lastRenderedPageBreak/>
        <w:t>Chapter 3. RESULTS</w:t>
      </w:r>
    </w:p>
    <w:p w:rsidR="00742F10" w:rsidRPr="00742F10" w:rsidRDefault="00742F10" w:rsidP="00742F10">
      <w:pPr>
        <w:keepNext/>
        <w:keepLines/>
        <w:spacing w:before="120" w:after="80"/>
        <w:ind w:firstLine="0"/>
        <w:jc w:val="left"/>
        <w:outlineLvl w:val="1"/>
        <w:rPr>
          <w:rFonts w:eastAsia="MS Gothic"/>
          <w:b/>
          <w:bCs/>
          <w:shd w:val="clear" w:color="auto" w:fill="auto"/>
        </w:rPr>
      </w:pPr>
      <w:r w:rsidRPr="00742F10">
        <w:rPr>
          <w:rFonts w:eastAsia="Times New Roman"/>
          <w:b/>
          <w:bCs/>
          <w:shd w:val="clear" w:color="auto" w:fill="auto"/>
        </w:rPr>
        <w:t>3.1. General characteristics of the study patients</w:t>
      </w:r>
    </w:p>
    <w:p w:rsidR="00742F10" w:rsidRPr="00742F10" w:rsidRDefault="00742F10" w:rsidP="00742F10">
      <w:pPr>
        <w:spacing w:after="80"/>
        <w:ind w:firstLine="425"/>
        <w:rPr>
          <w:rFonts w:eastAsia="Times New Roman"/>
          <w:shd w:val="clear" w:color="auto" w:fill="auto"/>
        </w:rPr>
      </w:pPr>
      <w:r w:rsidRPr="00742F10">
        <w:rPr>
          <w:rFonts w:eastAsia="Times New Roman"/>
          <w:shd w:val="clear" w:color="auto" w:fill="auto"/>
        </w:rPr>
        <w:t>Among the 110 patients with atrial fibrillation studied, men accounted for 68.2%, the mean age was 59.40 ± 11.43 years, and 57.3% were aged 61 years or older. Paroxysmal AF accounted for 75.5% and persistent AF for 24.5%; the most common symptom was palpitations, and hypertension was the most prevalent cardiovascular risk factor.</w:t>
      </w:r>
    </w:p>
    <w:p w:rsidR="00742F10" w:rsidRPr="00742F10" w:rsidRDefault="00742F10" w:rsidP="00742F10">
      <w:pPr>
        <w:keepNext/>
        <w:keepLines/>
        <w:spacing w:before="120" w:after="80"/>
        <w:ind w:firstLine="0"/>
        <w:jc w:val="left"/>
        <w:outlineLvl w:val="1"/>
        <w:rPr>
          <w:rFonts w:eastAsia="MS Gothic"/>
          <w:b/>
          <w:bCs/>
          <w:shd w:val="clear" w:color="auto" w:fill="auto"/>
        </w:rPr>
      </w:pPr>
      <w:r w:rsidRPr="00742F10">
        <w:rPr>
          <w:rFonts w:eastAsia="Times New Roman"/>
          <w:b/>
          <w:bCs/>
          <w:shd w:val="clear" w:color="auto" w:fill="auto"/>
        </w:rPr>
        <w:t>3.2. Left atrial morphology, plasma MMP-2, OPN, and NT-</w:t>
      </w:r>
      <w:proofErr w:type="spellStart"/>
      <w:r w:rsidRPr="00742F10">
        <w:rPr>
          <w:rFonts w:eastAsia="Times New Roman"/>
          <w:b/>
          <w:bCs/>
          <w:shd w:val="clear" w:color="auto" w:fill="auto"/>
        </w:rPr>
        <w:t>proBNP</w:t>
      </w:r>
      <w:proofErr w:type="spellEnd"/>
      <w:r w:rsidRPr="00742F10">
        <w:rPr>
          <w:rFonts w:eastAsia="Times New Roman"/>
          <w:b/>
          <w:bCs/>
          <w:shd w:val="clear" w:color="auto" w:fill="auto"/>
        </w:rPr>
        <w:t xml:space="preserve"> concentrations, and their associations with clinical characteristics</w:t>
      </w:r>
    </w:p>
    <w:p w:rsidR="00742F10" w:rsidRPr="00742F10" w:rsidRDefault="00742F10" w:rsidP="00742F10">
      <w:pPr>
        <w:keepNext/>
        <w:keepLines/>
        <w:spacing w:before="120" w:after="80"/>
        <w:ind w:firstLine="0"/>
        <w:jc w:val="left"/>
        <w:outlineLvl w:val="2"/>
        <w:rPr>
          <w:rFonts w:eastAsia="MS Gothic"/>
          <w:b/>
          <w:bCs/>
          <w:shd w:val="clear" w:color="auto" w:fill="auto"/>
        </w:rPr>
      </w:pPr>
      <w:r w:rsidRPr="00742F10">
        <w:rPr>
          <w:rFonts w:eastAsia="Times New Roman"/>
          <w:b/>
          <w:bCs/>
          <w:shd w:val="clear" w:color="auto" w:fill="auto"/>
        </w:rPr>
        <w:t>3.2.1. Left atrial dimensions on echocardiography</w:t>
      </w:r>
    </w:p>
    <w:p w:rsidR="00742F10" w:rsidRPr="00742F10" w:rsidRDefault="00742F10" w:rsidP="00742F10">
      <w:pPr>
        <w:keepNext/>
        <w:spacing w:before="120" w:after="80"/>
        <w:ind w:firstLine="0"/>
        <w:jc w:val="center"/>
        <w:rPr>
          <w:rFonts w:eastAsia="Times New Roman"/>
          <w:shd w:val="clear" w:color="auto" w:fill="auto"/>
        </w:rPr>
      </w:pPr>
      <w:r w:rsidRPr="00742F10">
        <w:rPr>
          <w:rFonts w:eastAsia="Times New Roman"/>
          <w:shd w:val="clear" w:color="auto" w:fill="auto"/>
        </w:rPr>
        <w:t>Table 3.10. Comparison of left atrial dimensions between paroxysmal and persistent atrial fibrillation groups</w:t>
      </w:r>
    </w:p>
    <w:tbl>
      <w:tblPr>
        <w:tblStyle w:val="TableGrid2"/>
        <w:tblW w:w="0" w:type="auto"/>
        <w:jc w:val="center"/>
        <w:shd w:val="clear" w:color="auto" w:fill="FFFFFF" w:themeFill="background1"/>
        <w:tblLook w:val="04A0" w:firstRow="1" w:lastRow="0" w:firstColumn="1" w:lastColumn="0" w:noHBand="0" w:noVBand="1"/>
      </w:tblPr>
      <w:tblGrid>
        <w:gridCol w:w="1606"/>
        <w:gridCol w:w="1812"/>
        <w:gridCol w:w="563"/>
        <w:gridCol w:w="1230"/>
        <w:gridCol w:w="931"/>
      </w:tblGrid>
      <w:tr w:rsidR="00742F10" w:rsidRPr="00742F10" w:rsidTr="00742F10">
        <w:trPr>
          <w:tblHeader/>
          <w:jc w:val="center"/>
        </w:trPr>
        <w:tc>
          <w:tcPr>
            <w:tcW w:w="2041"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Left atrial dimension</w:t>
            </w:r>
          </w:p>
        </w:tc>
        <w:tc>
          <w:tcPr>
            <w:tcW w:w="2324"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AF type</w:t>
            </w:r>
          </w:p>
        </w:tc>
        <w:tc>
          <w:tcPr>
            <w:tcW w:w="680"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n</w:t>
            </w:r>
          </w:p>
        </w:tc>
        <w:tc>
          <w:tcPr>
            <w:tcW w:w="1701"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Mean ± SD</w:t>
            </w:r>
          </w:p>
        </w:tc>
        <w:tc>
          <w:tcPr>
            <w:tcW w:w="1134"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p</w:t>
            </w:r>
          </w:p>
        </w:tc>
      </w:tr>
      <w:tr w:rsidR="00742F10" w:rsidRPr="00742F10" w:rsidTr="00742F10">
        <w:trPr>
          <w:cantSplit/>
          <w:jc w:val="center"/>
        </w:trPr>
        <w:tc>
          <w:tcPr>
            <w:tcW w:w="2041" w:type="dxa"/>
            <w:shd w:val="clear" w:color="auto" w:fill="FFFFFF" w:themeFill="background1"/>
            <w:vAlign w:val="center"/>
          </w:tcPr>
          <w:p w:rsidR="00742F10" w:rsidRPr="00742F10" w:rsidRDefault="00742F10" w:rsidP="00742F10">
            <w:pPr>
              <w:ind w:firstLine="0"/>
              <w:jc w:val="left"/>
              <w:rPr>
                <w:shd w:val="clear" w:color="auto" w:fill="auto"/>
              </w:rPr>
            </w:pPr>
            <w:r w:rsidRPr="00742F10">
              <w:rPr>
                <w:shd w:val="clear" w:color="auto" w:fill="auto"/>
              </w:rPr>
              <w:t>LAD (mm)</w:t>
            </w:r>
            <w:r w:rsidRPr="00742F10">
              <w:rPr>
                <w:shd w:val="clear" w:color="auto" w:fill="auto"/>
              </w:rPr>
              <w:br/>
              <w:t>(n = 110)</w:t>
            </w:r>
          </w:p>
        </w:tc>
        <w:tc>
          <w:tcPr>
            <w:tcW w:w="2324"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Paroxysmal AF</w:t>
            </w:r>
          </w:p>
        </w:tc>
        <w:tc>
          <w:tcPr>
            <w:tcW w:w="680"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83</w:t>
            </w:r>
          </w:p>
        </w:tc>
        <w:tc>
          <w:tcPr>
            <w:tcW w:w="1701"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35.37 ± 5.25</w:t>
            </w:r>
          </w:p>
        </w:tc>
        <w:tc>
          <w:tcPr>
            <w:tcW w:w="1134"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&lt; 0.001</w:t>
            </w:r>
          </w:p>
        </w:tc>
      </w:tr>
      <w:tr w:rsidR="00742F10" w:rsidRPr="00742F10" w:rsidTr="00742F10">
        <w:trPr>
          <w:cantSplit/>
          <w:jc w:val="center"/>
        </w:trPr>
        <w:tc>
          <w:tcPr>
            <w:tcW w:w="2041" w:type="dxa"/>
            <w:shd w:val="clear" w:color="auto" w:fill="FFFFFF" w:themeFill="background1"/>
            <w:vAlign w:val="center"/>
          </w:tcPr>
          <w:p w:rsidR="00742F10" w:rsidRPr="00742F10" w:rsidRDefault="00742F10" w:rsidP="00742F10">
            <w:pPr>
              <w:ind w:firstLine="0"/>
              <w:jc w:val="left"/>
              <w:rPr>
                <w:shd w:val="clear" w:color="auto" w:fill="auto"/>
              </w:rPr>
            </w:pPr>
            <w:r w:rsidRPr="00742F10">
              <w:rPr>
                <w:shd w:val="clear" w:color="auto" w:fill="auto"/>
              </w:rPr>
              <w:t>LAD (mm)</w:t>
            </w:r>
            <w:r w:rsidRPr="00742F10">
              <w:rPr>
                <w:shd w:val="clear" w:color="auto" w:fill="auto"/>
              </w:rPr>
              <w:br/>
              <w:t>(n = 110)</w:t>
            </w:r>
          </w:p>
        </w:tc>
        <w:tc>
          <w:tcPr>
            <w:tcW w:w="2324"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Persistent AF</w:t>
            </w:r>
          </w:p>
        </w:tc>
        <w:tc>
          <w:tcPr>
            <w:tcW w:w="680"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27</w:t>
            </w:r>
          </w:p>
        </w:tc>
        <w:tc>
          <w:tcPr>
            <w:tcW w:w="1701"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39.90 ± 4.79</w:t>
            </w:r>
          </w:p>
        </w:tc>
        <w:tc>
          <w:tcPr>
            <w:tcW w:w="1134"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&lt; 0.001</w:t>
            </w:r>
          </w:p>
        </w:tc>
      </w:tr>
      <w:tr w:rsidR="00742F10" w:rsidRPr="00742F10" w:rsidTr="00742F10">
        <w:trPr>
          <w:cantSplit/>
          <w:jc w:val="center"/>
        </w:trPr>
        <w:tc>
          <w:tcPr>
            <w:tcW w:w="2041" w:type="dxa"/>
            <w:shd w:val="clear" w:color="auto" w:fill="FFFFFF" w:themeFill="background1"/>
            <w:vAlign w:val="center"/>
          </w:tcPr>
          <w:p w:rsidR="00742F10" w:rsidRPr="00742F10" w:rsidRDefault="00742F10" w:rsidP="00742F10">
            <w:pPr>
              <w:ind w:firstLine="0"/>
              <w:jc w:val="left"/>
              <w:rPr>
                <w:shd w:val="clear" w:color="auto" w:fill="auto"/>
              </w:rPr>
            </w:pPr>
            <w:r w:rsidRPr="00742F10">
              <w:rPr>
                <w:shd w:val="clear" w:color="auto" w:fill="auto"/>
              </w:rPr>
              <w:t>LA-AP_CT (mm)</w:t>
            </w:r>
            <w:r w:rsidRPr="00742F10">
              <w:rPr>
                <w:shd w:val="clear" w:color="auto" w:fill="auto"/>
              </w:rPr>
              <w:br/>
              <w:t>(n = 87)</w:t>
            </w:r>
          </w:p>
        </w:tc>
        <w:tc>
          <w:tcPr>
            <w:tcW w:w="2324"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Paroxysmal AF</w:t>
            </w:r>
          </w:p>
        </w:tc>
        <w:tc>
          <w:tcPr>
            <w:tcW w:w="680"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64</w:t>
            </w:r>
          </w:p>
        </w:tc>
        <w:tc>
          <w:tcPr>
            <w:tcW w:w="1701"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36.65 ± 6.38</w:t>
            </w:r>
          </w:p>
        </w:tc>
        <w:tc>
          <w:tcPr>
            <w:tcW w:w="1134"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&lt; 0.001</w:t>
            </w:r>
          </w:p>
        </w:tc>
      </w:tr>
      <w:tr w:rsidR="00742F10" w:rsidRPr="00742F10" w:rsidTr="00742F10">
        <w:trPr>
          <w:cantSplit/>
          <w:jc w:val="center"/>
        </w:trPr>
        <w:tc>
          <w:tcPr>
            <w:tcW w:w="2041" w:type="dxa"/>
            <w:shd w:val="clear" w:color="auto" w:fill="FFFFFF" w:themeFill="background1"/>
            <w:vAlign w:val="center"/>
          </w:tcPr>
          <w:p w:rsidR="00742F10" w:rsidRPr="00742F10" w:rsidRDefault="00742F10" w:rsidP="00742F10">
            <w:pPr>
              <w:ind w:firstLine="0"/>
              <w:jc w:val="left"/>
              <w:rPr>
                <w:shd w:val="clear" w:color="auto" w:fill="auto"/>
              </w:rPr>
            </w:pPr>
            <w:r w:rsidRPr="00742F10">
              <w:rPr>
                <w:shd w:val="clear" w:color="auto" w:fill="auto"/>
              </w:rPr>
              <w:t>LA-AP_CT (mm)</w:t>
            </w:r>
            <w:r w:rsidRPr="00742F10">
              <w:rPr>
                <w:shd w:val="clear" w:color="auto" w:fill="auto"/>
              </w:rPr>
              <w:br/>
              <w:t>(n = 87)</w:t>
            </w:r>
          </w:p>
        </w:tc>
        <w:tc>
          <w:tcPr>
            <w:tcW w:w="2324"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Persistent AF</w:t>
            </w:r>
          </w:p>
        </w:tc>
        <w:tc>
          <w:tcPr>
            <w:tcW w:w="680"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23</w:t>
            </w:r>
          </w:p>
        </w:tc>
        <w:tc>
          <w:tcPr>
            <w:tcW w:w="1701"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43.39 ± 5.53</w:t>
            </w:r>
          </w:p>
        </w:tc>
        <w:tc>
          <w:tcPr>
            <w:tcW w:w="1134"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&lt; 0.001</w:t>
            </w:r>
          </w:p>
        </w:tc>
      </w:tr>
      <w:tr w:rsidR="00742F10" w:rsidRPr="00742F10" w:rsidTr="00742F10">
        <w:trPr>
          <w:cantSplit/>
          <w:jc w:val="center"/>
        </w:trPr>
        <w:tc>
          <w:tcPr>
            <w:tcW w:w="2041" w:type="dxa"/>
            <w:shd w:val="clear" w:color="auto" w:fill="FFFFFF" w:themeFill="background1"/>
            <w:vAlign w:val="center"/>
          </w:tcPr>
          <w:p w:rsidR="00742F10" w:rsidRPr="00742F10" w:rsidRDefault="00742F10" w:rsidP="00742F10">
            <w:pPr>
              <w:ind w:firstLine="0"/>
              <w:jc w:val="left"/>
              <w:rPr>
                <w:shd w:val="clear" w:color="auto" w:fill="auto"/>
              </w:rPr>
            </w:pPr>
            <w:proofErr w:type="spellStart"/>
            <w:r w:rsidRPr="00742F10">
              <w:rPr>
                <w:shd w:val="clear" w:color="auto" w:fill="auto"/>
              </w:rPr>
              <w:t>LADi</w:t>
            </w:r>
            <w:proofErr w:type="spellEnd"/>
            <w:r w:rsidRPr="00742F10">
              <w:rPr>
                <w:shd w:val="clear" w:color="auto" w:fill="auto"/>
              </w:rPr>
              <w:t xml:space="preserve"> (mm/m²)</w:t>
            </w:r>
            <w:r w:rsidRPr="00742F10">
              <w:rPr>
                <w:shd w:val="clear" w:color="auto" w:fill="auto"/>
              </w:rPr>
              <w:br/>
              <w:t>(n = 110)</w:t>
            </w:r>
          </w:p>
        </w:tc>
        <w:tc>
          <w:tcPr>
            <w:tcW w:w="2324"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Paroxysmal AF</w:t>
            </w:r>
          </w:p>
        </w:tc>
        <w:tc>
          <w:tcPr>
            <w:tcW w:w="680"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83</w:t>
            </w:r>
          </w:p>
        </w:tc>
        <w:tc>
          <w:tcPr>
            <w:tcW w:w="1701"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21.15 ± 3.34</w:t>
            </w:r>
          </w:p>
        </w:tc>
        <w:tc>
          <w:tcPr>
            <w:tcW w:w="1134"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0.011</w:t>
            </w:r>
          </w:p>
        </w:tc>
      </w:tr>
      <w:tr w:rsidR="00742F10" w:rsidRPr="00742F10" w:rsidTr="00742F10">
        <w:trPr>
          <w:cantSplit/>
          <w:jc w:val="center"/>
        </w:trPr>
        <w:tc>
          <w:tcPr>
            <w:tcW w:w="2041" w:type="dxa"/>
            <w:shd w:val="clear" w:color="auto" w:fill="FFFFFF" w:themeFill="background1"/>
            <w:vAlign w:val="center"/>
          </w:tcPr>
          <w:p w:rsidR="00742F10" w:rsidRPr="00742F10" w:rsidRDefault="00742F10" w:rsidP="00742F10">
            <w:pPr>
              <w:ind w:firstLine="0"/>
              <w:jc w:val="left"/>
              <w:rPr>
                <w:shd w:val="clear" w:color="auto" w:fill="auto"/>
              </w:rPr>
            </w:pPr>
            <w:proofErr w:type="spellStart"/>
            <w:r w:rsidRPr="00742F10">
              <w:rPr>
                <w:shd w:val="clear" w:color="auto" w:fill="auto"/>
              </w:rPr>
              <w:t>LADi</w:t>
            </w:r>
            <w:proofErr w:type="spellEnd"/>
            <w:r w:rsidRPr="00742F10">
              <w:rPr>
                <w:shd w:val="clear" w:color="auto" w:fill="auto"/>
              </w:rPr>
              <w:t xml:space="preserve"> (mm/m²)</w:t>
            </w:r>
            <w:r w:rsidRPr="00742F10">
              <w:rPr>
                <w:shd w:val="clear" w:color="auto" w:fill="auto"/>
              </w:rPr>
              <w:br/>
              <w:t>(n = 110)</w:t>
            </w:r>
          </w:p>
        </w:tc>
        <w:tc>
          <w:tcPr>
            <w:tcW w:w="2324"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Persistent AF</w:t>
            </w:r>
          </w:p>
        </w:tc>
        <w:tc>
          <w:tcPr>
            <w:tcW w:w="680"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27</w:t>
            </w:r>
          </w:p>
        </w:tc>
        <w:tc>
          <w:tcPr>
            <w:tcW w:w="1701"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22.55 ± 2.43</w:t>
            </w:r>
          </w:p>
        </w:tc>
        <w:tc>
          <w:tcPr>
            <w:tcW w:w="1134"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0.011</w:t>
            </w:r>
          </w:p>
        </w:tc>
      </w:tr>
    </w:tbl>
    <w:p w:rsidR="00742F10" w:rsidRPr="00742F10" w:rsidRDefault="00742F10" w:rsidP="00742F10">
      <w:pPr>
        <w:spacing w:after="80"/>
        <w:ind w:firstLine="425"/>
        <w:rPr>
          <w:rFonts w:eastAsia="Times New Roman"/>
          <w:shd w:val="clear" w:color="auto" w:fill="auto"/>
        </w:rPr>
      </w:pPr>
      <w:r w:rsidRPr="00742F10">
        <w:rPr>
          <w:rFonts w:eastAsia="Times New Roman"/>
          <w:b/>
          <w:shd w:val="clear" w:color="auto" w:fill="auto"/>
        </w:rPr>
        <w:lastRenderedPageBreak/>
        <w:t xml:space="preserve">Interpretation: </w:t>
      </w:r>
      <w:r w:rsidRPr="00742F10">
        <w:rPr>
          <w:rFonts w:eastAsia="Times New Roman"/>
          <w:shd w:val="clear" w:color="auto" w:fill="auto"/>
        </w:rPr>
        <w:t>Left atrial dimensions in the persistent AF group were greater than those in the paroxysmal AF group; the differences were statistically significant with p &lt; 0.05.</w:t>
      </w:r>
    </w:p>
    <w:p w:rsidR="00742F10" w:rsidRPr="00742F10" w:rsidRDefault="00742F10" w:rsidP="00742F10">
      <w:pPr>
        <w:keepNext/>
        <w:spacing w:before="120" w:after="80"/>
        <w:ind w:firstLine="0"/>
        <w:jc w:val="center"/>
        <w:rPr>
          <w:rFonts w:eastAsia="Times New Roman"/>
          <w:shd w:val="clear" w:color="auto" w:fill="auto"/>
        </w:rPr>
      </w:pPr>
      <w:r w:rsidRPr="00742F10">
        <w:rPr>
          <w:rFonts w:eastAsia="Times New Roman"/>
          <w:shd w:val="clear" w:color="auto" w:fill="auto"/>
        </w:rPr>
        <w:t>Table 3.12. NT-</w:t>
      </w:r>
      <w:proofErr w:type="spellStart"/>
      <w:r w:rsidRPr="00742F10">
        <w:rPr>
          <w:rFonts w:eastAsia="Times New Roman"/>
          <w:shd w:val="clear" w:color="auto" w:fill="auto"/>
        </w:rPr>
        <w:t>proBNP</w:t>
      </w:r>
      <w:proofErr w:type="spellEnd"/>
      <w:r w:rsidRPr="00742F10">
        <w:rPr>
          <w:rFonts w:eastAsia="Times New Roman"/>
          <w:shd w:val="clear" w:color="auto" w:fill="auto"/>
        </w:rPr>
        <w:t xml:space="preserve"> concentrations according to echocardiographic left atrial dimension subgroups (n = 110)</w:t>
      </w:r>
    </w:p>
    <w:tbl>
      <w:tblPr>
        <w:tblStyle w:val="TableGrid2"/>
        <w:tblW w:w="0" w:type="auto"/>
        <w:jc w:val="center"/>
        <w:shd w:val="clear" w:color="auto" w:fill="FFFFFF" w:themeFill="background1"/>
        <w:tblLook w:val="04A0" w:firstRow="1" w:lastRow="0" w:firstColumn="1" w:lastColumn="0" w:noHBand="0" w:noVBand="1"/>
      </w:tblPr>
      <w:tblGrid>
        <w:gridCol w:w="1237"/>
        <w:gridCol w:w="1363"/>
        <w:gridCol w:w="1083"/>
        <w:gridCol w:w="955"/>
        <w:gridCol w:w="736"/>
        <w:gridCol w:w="768"/>
      </w:tblGrid>
      <w:tr w:rsidR="00742F10" w:rsidRPr="00742F10" w:rsidTr="00742F10">
        <w:trPr>
          <w:tblHeader/>
          <w:jc w:val="center"/>
        </w:trPr>
        <w:tc>
          <w:tcPr>
            <w:tcW w:w="158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Biomarker</w:t>
            </w:r>
          </w:p>
        </w:tc>
        <w:tc>
          <w:tcPr>
            <w:tcW w:w="2381"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Left atrial dimension subgroup</w:t>
            </w:r>
          </w:p>
        </w:tc>
        <w:tc>
          <w:tcPr>
            <w:tcW w:w="175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Mean ± SD</w:t>
            </w:r>
          </w:p>
        </w:tc>
        <w:tc>
          <w:tcPr>
            <w:tcW w:w="124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Median</w:t>
            </w:r>
          </w:p>
        </w:tc>
        <w:tc>
          <w:tcPr>
            <w:tcW w:w="124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Q1-Q3</w:t>
            </w:r>
          </w:p>
        </w:tc>
        <w:tc>
          <w:tcPr>
            <w:tcW w:w="1020"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p</w:t>
            </w:r>
          </w:p>
        </w:tc>
      </w:tr>
      <w:tr w:rsidR="00742F10" w:rsidRPr="00742F10" w:rsidTr="00742F10">
        <w:trPr>
          <w:cantSplit/>
          <w:jc w:val="center"/>
        </w:trPr>
        <w:tc>
          <w:tcPr>
            <w:tcW w:w="1587" w:type="dxa"/>
            <w:shd w:val="clear" w:color="auto" w:fill="FFFFFF" w:themeFill="background1"/>
            <w:vAlign w:val="center"/>
          </w:tcPr>
          <w:p w:rsidR="00742F10" w:rsidRPr="00742F10" w:rsidRDefault="00742F10" w:rsidP="00742F10">
            <w:pPr>
              <w:ind w:firstLine="0"/>
              <w:jc w:val="left"/>
              <w:rPr>
                <w:shd w:val="clear" w:color="auto" w:fill="auto"/>
              </w:rPr>
            </w:pPr>
            <w:r w:rsidRPr="00742F10">
              <w:rPr>
                <w:shd w:val="clear" w:color="auto" w:fill="auto"/>
              </w:rPr>
              <w:t>NT-</w:t>
            </w:r>
            <w:proofErr w:type="spellStart"/>
            <w:r w:rsidRPr="00742F10">
              <w:rPr>
                <w:shd w:val="clear" w:color="auto" w:fill="auto"/>
              </w:rPr>
              <w:t>proBNP</w:t>
            </w:r>
            <w:proofErr w:type="spellEnd"/>
            <w:r w:rsidRPr="00742F10">
              <w:rPr>
                <w:shd w:val="clear" w:color="auto" w:fill="auto"/>
              </w:rPr>
              <w:br/>
              <w:t>(</w:t>
            </w:r>
            <w:proofErr w:type="spellStart"/>
            <w:r w:rsidRPr="00742F10">
              <w:rPr>
                <w:shd w:val="clear" w:color="auto" w:fill="auto"/>
              </w:rPr>
              <w:t>pg</w:t>
            </w:r>
            <w:proofErr w:type="spellEnd"/>
            <w:r w:rsidRPr="00742F10">
              <w:rPr>
                <w:shd w:val="clear" w:color="auto" w:fill="auto"/>
              </w:rPr>
              <w:t>/mL)</w:t>
            </w:r>
          </w:p>
        </w:tc>
        <w:tc>
          <w:tcPr>
            <w:tcW w:w="2381" w:type="dxa"/>
            <w:shd w:val="clear" w:color="auto" w:fill="FFFFFF" w:themeFill="background1"/>
            <w:vAlign w:val="center"/>
          </w:tcPr>
          <w:p w:rsidR="00742F10" w:rsidRPr="00742F10" w:rsidRDefault="00742F10" w:rsidP="00742F10">
            <w:pPr>
              <w:ind w:firstLine="0"/>
              <w:jc w:val="left"/>
              <w:rPr>
                <w:shd w:val="clear" w:color="auto" w:fill="auto"/>
              </w:rPr>
            </w:pPr>
            <w:r w:rsidRPr="00742F10">
              <w:rPr>
                <w:shd w:val="clear" w:color="auto" w:fill="auto"/>
              </w:rPr>
              <w:t>LAD &lt; 40 mm</w:t>
            </w:r>
            <w:r w:rsidRPr="00742F10">
              <w:rPr>
                <w:shd w:val="clear" w:color="auto" w:fill="auto"/>
              </w:rPr>
              <w:br/>
              <w:t>(n = 77)</w:t>
            </w:r>
          </w:p>
        </w:tc>
        <w:tc>
          <w:tcPr>
            <w:tcW w:w="175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255.22 ± 635.34</w:t>
            </w:r>
          </w:p>
        </w:tc>
        <w:tc>
          <w:tcPr>
            <w:tcW w:w="124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156.00</w:t>
            </w:r>
          </w:p>
        </w:tc>
        <w:tc>
          <w:tcPr>
            <w:tcW w:w="124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135-191</w:t>
            </w:r>
          </w:p>
        </w:tc>
        <w:tc>
          <w:tcPr>
            <w:tcW w:w="1020"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&lt; 0.001</w:t>
            </w:r>
          </w:p>
        </w:tc>
      </w:tr>
      <w:tr w:rsidR="00742F10" w:rsidRPr="00742F10" w:rsidTr="00742F10">
        <w:trPr>
          <w:cantSplit/>
          <w:jc w:val="center"/>
        </w:trPr>
        <w:tc>
          <w:tcPr>
            <w:tcW w:w="1587" w:type="dxa"/>
            <w:shd w:val="clear" w:color="auto" w:fill="FFFFFF" w:themeFill="background1"/>
            <w:vAlign w:val="center"/>
          </w:tcPr>
          <w:p w:rsidR="00742F10" w:rsidRPr="00742F10" w:rsidRDefault="00742F10" w:rsidP="00742F10">
            <w:pPr>
              <w:ind w:firstLine="0"/>
              <w:jc w:val="left"/>
              <w:rPr>
                <w:shd w:val="clear" w:color="auto" w:fill="auto"/>
              </w:rPr>
            </w:pPr>
            <w:r w:rsidRPr="00742F10">
              <w:rPr>
                <w:shd w:val="clear" w:color="auto" w:fill="auto"/>
              </w:rPr>
              <w:t>NT-</w:t>
            </w:r>
            <w:proofErr w:type="spellStart"/>
            <w:r w:rsidRPr="00742F10">
              <w:rPr>
                <w:shd w:val="clear" w:color="auto" w:fill="auto"/>
              </w:rPr>
              <w:t>proBNP</w:t>
            </w:r>
            <w:proofErr w:type="spellEnd"/>
            <w:r w:rsidRPr="00742F10">
              <w:rPr>
                <w:shd w:val="clear" w:color="auto" w:fill="auto"/>
              </w:rPr>
              <w:br/>
              <w:t>(</w:t>
            </w:r>
            <w:proofErr w:type="spellStart"/>
            <w:r w:rsidRPr="00742F10">
              <w:rPr>
                <w:shd w:val="clear" w:color="auto" w:fill="auto"/>
              </w:rPr>
              <w:t>pg</w:t>
            </w:r>
            <w:proofErr w:type="spellEnd"/>
            <w:r w:rsidRPr="00742F10">
              <w:rPr>
                <w:shd w:val="clear" w:color="auto" w:fill="auto"/>
              </w:rPr>
              <w:t>/mL)</w:t>
            </w:r>
          </w:p>
        </w:tc>
        <w:tc>
          <w:tcPr>
            <w:tcW w:w="2381" w:type="dxa"/>
            <w:shd w:val="clear" w:color="auto" w:fill="FFFFFF" w:themeFill="background1"/>
            <w:vAlign w:val="center"/>
          </w:tcPr>
          <w:p w:rsidR="00742F10" w:rsidRPr="00742F10" w:rsidRDefault="00742F10" w:rsidP="00742F10">
            <w:pPr>
              <w:ind w:firstLine="0"/>
              <w:jc w:val="left"/>
              <w:rPr>
                <w:shd w:val="clear" w:color="auto" w:fill="auto"/>
              </w:rPr>
            </w:pPr>
            <w:r w:rsidRPr="00742F10">
              <w:rPr>
                <w:shd w:val="clear" w:color="auto" w:fill="auto"/>
              </w:rPr>
              <w:t>LAD ≥ 40 mm</w:t>
            </w:r>
            <w:r w:rsidRPr="00742F10">
              <w:rPr>
                <w:shd w:val="clear" w:color="auto" w:fill="auto"/>
              </w:rPr>
              <w:br/>
              <w:t>(n = 33)</w:t>
            </w:r>
          </w:p>
        </w:tc>
        <w:tc>
          <w:tcPr>
            <w:tcW w:w="175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661.85 ± 800.57</w:t>
            </w:r>
          </w:p>
        </w:tc>
        <w:tc>
          <w:tcPr>
            <w:tcW w:w="124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325.00</w:t>
            </w:r>
          </w:p>
        </w:tc>
        <w:tc>
          <w:tcPr>
            <w:tcW w:w="124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182-773</w:t>
            </w:r>
          </w:p>
        </w:tc>
        <w:tc>
          <w:tcPr>
            <w:tcW w:w="1020"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&lt; 0.001</w:t>
            </w:r>
          </w:p>
        </w:tc>
      </w:tr>
      <w:tr w:rsidR="00742F10" w:rsidRPr="00742F10" w:rsidTr="00742F10">
        <w:trPr>
          <w:cantSplit/>
          <w:jc w:val="center"/>
        </w:trPr>
        <w:tc>
          <w:tcPr>
            <w:tcW w:w="1587" w:type="dxa"/>
            <w:shd w:val="clear" w:color="auto" w:fill="FFFFFF" w:themeFill="background1"/>
            <w:vAlign w:val="center"/>
          </w:tcPr>
          <w:p w:rsidR="00742F10" w:rsidRPr="00742F10" w:rsidRDefault="00742F10" w:rsidP="00742F10">
            <w:pPr>
              <w:ind w:firstLine="0"/>
              <w:jc w:val="left"/>
              <w:rPr>
                <w:shd w:val="clear" w:color="auto" w:fill="auto"/>
              </w:rPr>
            </w:pPr>
            <w:r w:rsidRPr="00742F10">
              <w:rPr>
                <w:shd w:val="clear" w:color="auto" w:fill="auto"/>
              </w:rPr>
              <w:t>NT-</w:t>
            </w:r>
            <w:proofErr w:type="spellStart"/>
            <w:r w:rsidRPr="00742F10">
              <w:rPr>
                <w:shd w:val="clear" w:color="auto" w:fill="auto"/>
              </w:rPr>
              <w:t>proBNP</w:t>
            </w:r>
            <w:proofErr w:type="spellEnd"/>
            <w:r w:rsidRPr="00742F10">
              <w:rPr>
                <w:shd w:val="clear" w:color="auto" w:fill="auto"/>
              </w:rPr>
              <w:br/>
              <w:t>(</w:t>
            </w:r>
            <w:proofErr w:type="spellStart"/>
            <w:r w:rsidRPr="00742F10">
              <w:rPr>
                <w:shd w:val="clear" w:color="auto" w:fill="auto"/>
              </w:rPr>
              <w:t>pg</w:t>
            </w:r>
            <w:proofErr w:type="spellEnd"/>
            <w:r w:rsidRPr="00742F10">
              <w:rPr>
                <w:shd w:val="clear" w:color="auto" w:fill="auto"/>
              </w:rPr>
              <w:t>/mL)</w:t>
            </w:r>
          </w:p>
        </w:tc>
        <w:tc>
          <w:tcPr>
            <w:tcW w:w="2381" w:type="dxa"/>
            <w:shd w:val="clear" w:color="auto" w:fill="FFFFFF" w:themeFill="background1"/>
            <w:vAlign w:val="center"/>
          </w:tcPr>
          <w:p w:rsidR="00742F10" w:rsidRPr="00742F10" w:rsidRDefault="00742F10" w:rsidP="00742F10">
            <w:pPr>
              <w:ind w:firstLine="0"/>
              <w:jc w:val="left"/>
              <w:rPr>
                <w:shd w:val="clear" w:color="auto" w:fill="auto"/>
              </w:rPr>
            </w:pPr>
            <w:proofErr w:type="spellStart"/>
            <w:r w:rsidRPr="00742F10">
              <w:rPr>
                <w:shd w:val="clear" w:color="auto" w:fill="auto"/>
              </w:rPr>
              <w:t>LADi</w:t>
            </w:r>
            <w:proofErr w:type="spellEnd"/>
            <w:r w:rsidRPr="00742F10">
              <w:rPr>
                <w:shd w:val="clear" w:color="auto" w:fill="auto"/>
              </w:rPr>
              <w:t xml:space="preserve"> &lt; 22 mm/m²</w:t>
            </w:r>
            <w:r w:rsidRPr="00742F10">
              <w:rPr>
                <w:shd w:val="clear" w:color="auto" w:fill="auto"/>
              </w:rPr>
              <w:br/>
              <w:t>(n = 63)</w:t>
            </w:r>
          </w:p>
        </w:tc>
        <w:tc>
          <w:tcPr>
            <w:tcW w:w="175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160.75 ± 88.64</w:t>
            </w:r>
          </w:p>
        </w:tc>
        <w:tc>
          <w:tcPr>
            <w:tcW w:w="124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156.00</w:t>
            </w:r>
          </w:p>
        </w:tc>
        <w:tc>
          <w:tcPr>
            <w:tcW w:w="124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136-185</w:t>
            </w:r>
          </w:p>
        </w:tc>
        <w:tc>
          <w:tcPr>
            <w:tcW w:w="1020"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&lt; 0.001</w:t>
            </w:r>
          </w:p>
        </w:tc>
      </w:tr>
      <w:tr w:rsidR="00742F10" w:rsidRPr="00742F10" w:rsidTr="00742F10">
        <w:trPr>
          <w:cantSplit/>
          <w:jc w:val="center"/>
        </w:trPr>
        <w:tc>
          <w:tcPr>
            <w:tcW w:w="1587" w:type="dxa"/>
            <w:shd w:val="clear" w:color="auto" w:fill="FFFFFF" w:themeFill="background1"/>
            <w:vAlign w:val="center"/>
          </w:tcPr>
          <w:p w:rsidR="00742F10" w:rsidRPr="00742F10" w:rsidRDefault="00742F10" w:rsidP="00742F10">
            <w:pPr>
              <w:ind w:firstLine="0"/>
              <w:jc w:val="left"/>
              <w:rPr>
                <w:shd w:val="clear" w:color="auto" w:fill="auto"/>
              </w:rPr>
            </w:pPr>
            <w:r w:rsidRPr="00742F10">
              <w:rPr>
                <w:shd w:val="clear" w:color="auto" w:fill="auto"/>
              </w:rPr>
              <w:t>NT-</w:t>
            </w:r>
            <w:proofErr w:type="spellStart"/>
            <w:r w:rsidRPr="00742F10">
              <w:rPr>
                <w:shd w:val="clear" w:color="auto" w:fill="auto"/>
              </w:rPr>
              <w:t>proBNP</w:t>
            </w:r>
            <w:proofErr w:type="spellEnd"/>
            <w:r w:rsidRPr="00742F10">
              <w:rPr>
                <w:shd w:val="clear" w:color="auto" w:fill="auto"/>
              </w:rPr>
              <w:br/>
              <w:t>(</w:t>
            </w:r>
            <w:proofErr w:type="spellStart"/>
            <w:r w:rsidRPr="00742F10">
              <w:rPr>
                <w:shd w:val="clear" w:color="auto" w:fill="auto"/>
              </w:rPr>
              <w:t>pg</w:t>
            </w:r>
            <w:proofErr w:type="spellEnd"/>
            <w:r w:rsidRPr="00742F10">
              <w:rPr>
                <w:shd w:val="clear" w:color="auto" w:fill="auto"/>
              </w:rPr>
              <w:t>/mL)</w:t>
            </w:r>
          </w:p>
        </w:tc>
        <w:tc>
          <w:tcPr>
            <w:tcW w:w="2381" w:type="dxa"/>
            <w:shd w:val="clear" w:color="auto" w:fill="FFFFFF" w:themeFill="background1"/>
            <w:vAlign w:val="center"/>
          </w:tcPr>
          <w:p w:rsidR="00742F10" w:rsidRPr="00742F10" w:rsidRDefault="00742F10" w:rsidP="00742F10">
            <w:pPr>
              <w:ind w:firstLine="0"/>
              <w:jc w:val="left"/>
              <w:rPr>
                <w:shd w:val="clear" w:color="auto" w:fill="auto"/>
              </w:rPr>
            </w:pPr>
            <w:proofErr w:type="spellStart"/>
            <w:r w:rsidRPr="00742F10">
              <w:rPr>
                <w:shd w:val="clear" w:color="auto" w:fill="auto"/>
              </w:rPr>
              <w:t>LADi</w:t>
            </w:r>
            <w:proofErr w:type="spellEnd"/>
            <w:r w:rsidRPr="00742F10">
              <w:rPr>
                <w:shd w:val="clear" w:color="auto" w:fill="auto"/>
              </w:rPr>
              <w:t xml:space="preserve"> ≥ 22 mm/m²</w:t>
            </w:r>
            <w:r w:rsidRPr="00742F10">
              <w:rPr>
                <w:shd w:val="clear" w:color="auto" w:fill="auto"/>
              </w:rPr>
              <w:br/>
              <w:t>(n = 47)</w:t>
            </w:r>
          </w:p>
        </w:tc>
        <w:tc>
          <w:tcPr>
            <w:tcW w:w="175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667.36 ± 1017.35</w:t>
            </w:r>
          </w:p>
        </w:tc>
        <w:tc>
          <w:tcPr>
            <w:tcW w:w="124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287.00</w:t>
            </w:r>
          </w:p>
        </w:tc>
        <w:tc>
          <w:tcPr>
            <w:tcW w:w="124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167-742</w:t>
            </w:r>
          </w:p>
        </w:tc>
        <w:tc>
          <w:tcPr>
            <w:tcW w:w="1020"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&lt; 0.001</w:t>
            </w:r>
          </w:p>
        </w:tc>
      </w:tr>
    </w:tbl>
    <w:p w:rsidR="00742F10" w:rsidRPr="00742F10" w:rsidRDefault="00742F10" w:rsidP="00742F10">
      <w:pPr>
        <w:spacing w:after="80"/>
        <w:ind w:firstLine="425"/>
        <w:rPr>
          <w:rFonts w:eastAsia="Times New Roman"/>
          <w:shd w:val="clear" w:color="auto" w:fill="auto"/>
        </w:rPr>
      </w:pPr>
      <w:r w:rsidRPr="00742F10">
        <w:rPr>
          <w:rFonts w:eastAsia="Times New Roman"/>
          <w:b/>
          <w:shd w:val="clear" w:color="auto" w:fill="auto"/>
        </w:rPr>
        <w:t xml:space="preserve">Interpretation: </w:t>
      </w:r>
      <w:r w:rsidRPr="00742F10">
        <w:rPr>
          <w:rFonts w:eastAsia="Times New Roman"/>
          <w:shd w:val="clear" w:color="auto" w:fill="auto"/>
        </w:rPr>
        <w:t>Patients with left atrial enlargement had higher NT-</w:t>
      </w:r>
      <w:proofErr w:type="spellStart"/>
      <w:r w:rsidRPr="00742F10">
        <w:rPr>
          <w:rFonts w:eastAsia="Times New Roman"/>
          <w:shd w:val="clear" w:color="auto" w:fill="auto"/>
        </w:rPr>
        <w:t>proBNP</w:t>
      </w:r>
      <w:proofErr w:type="spellEnd"/>
      <w:r w:rsidRPr="00742F10">
        <w:rPr>
          <w:rFonts w:eastAsia="Times New Roman"/>
          <w:shd w:val="clear" w:color="auto" w:fill="auto"/>
        </w:rPr>
        <w:t xml:space="preserve"> concentrations than the remaining group; the difference was statistically significant with p &lt; 0.05 in non-parametric testing.</w:t>
      </w:r>
    </w:p>
    <w:p w:rsidR="00742F10" w:rsidRPr="00742F10" w:rsidRDefault="00742F10" w:rsidP="00742F10">
      <w:pPr>
        <w:keepNext/>
        <w:spacing w:before="120" w:after="80"/>
        <w:ind w:firstLine="0"/>
        <w:jc w:val="center"/>
        <w:rPr>
          <w:rFonts w:eastAsia="Times New Roman"/>
          <w:shd w:val="clear" w:color="auto" w:fill="auto"/>
        </w:rPr>
      </w:pPr>
      <w:r w:rsidRPr="00742F10">
        <w:rPr>
          <w:rFonts w:eastAsia="Times New Roman"/>
          <w:shd w:val="clear" w:color="auto" w:fill="auto"/>
        </w:rPr>
        <w:t>Table 3.16. MMP-2 concentrations stratified by left atrial dimension</w:t>
      </w:r>
    </w:p>
    <w:tbl>
      <w:tblPr>
        <w:tblStyle w:val="TableGrid2"/>
        <w:tblW w:w="0" w:type="auto"/>
        <w:jc w:val="center"/>
        <w:shd w:val="clear" w:color="auto" w:fill="FFFFFF" w:themeFill="background1"/>
        <w:tblLook w:val="04A0" w:firstRow="1" w:lastRow="0" w:firstColumn="1" w:lastColumn="0" w:noHBand="0" w:noVBand="1"/>
      </w:tblPr>
      <w:tblGrid>
        <w:gridCol w:w="1348"/>
        <w:gridCol w:w="1614"/>
        <w:gridCol w:w="1172"/>
        <w:gridCol w:w="1076"/>
        <w:gridCol w:w="932"/>
      </w:tblGrid>
      <w:tr w:rsidR="00742F10" w:rsidRPr="00742F10" w:rsidTr="00742F10">
        <w:trPr>
          <w:tblHeader/>
          <w:jc w:val="center"/>
        </w:trPr>
        <w:tc>
          <w:tcPr>
            <w:tcW w:w="1701"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Biomarker</w:t>
            </w:r>
          </w:p>
        </w:tc>
        <w:tc>
          <w:tcPr>
            <w:tcW w:w="2494"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Left atrial dimension subgroup</w:t>
            </w:r>
          </w:p>
        </w:tc>
        <w:tc>
          <w:tcPr>
            <w:tcW w:w="1814"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Mean ± SD</w:t>
            </w:r>
          </w:p>
        </w:tc>
        <w:tc>
          <w:tcPr>
            <w:tcW w:w="141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Median</w:t>
            </w:r>
          </w:p>
        </w:tc>
        <w:tc>
          <w:tcPr>
            <w:tcW w:w="1134"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p</w:t>
            </w:r>
          </w:p>
        </w:tc>
      </w:tr>
      <w:tr w:rsidR="00742F10" w:rsidRPr="00742F10" w:rsidTr="00742F10">
        <w:trPr>
          <w:cantSplit/>
          <w:jc w:val="center"/>
        </w:trPr>
        <w:tc>
          <w:tcPr>
            <w:tcW w:w="1701"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MMP-2</w:t>
            </w:r>
            <w:r w:rsidRPr="00742F10">
              <w:rPr>
                <w:shd w:val="clear" w:color="auto" w:fill="auto"/>
              </w:rPr>
              <w:br/>
              <w:t>(ng/mL)</w:t>
            </w:r>
          </w:p>
        </w:tc>
        <w:tc>
          <w:tcPr>
            <w:tcW w:w="2494" w:type="dxa"/>
            <w:shd w:val="clear" w:color="auto" w:fill="FFFFFF" w:themeFill="background1"/>
            <w:vAlign w:val="center"/>
          </w:tcPr>
          <w:p w:rsidR="00742F10" w:rsidRPr="00742F10" w:rsidRDefault="00742F10" w:rsidP="00742F10">
            <w:pPr>
              <w:ind w:firstLine="0"/>
              <w:jc w:val="left"/>
              <w:rPr>
                <w:shd w:val="clear" w:color="auto" w:fill="auto"/>
              </w:rPr>
            </w:pPr>
            <w:r w:rsidRPr="00742F10">
              <w:rPr>
                <w:shd w:val="clear" w:color="auto" w:fill="auto"/>
              </w:rPr>
              <w:t>LAD &lt; 40 mm</w:t>
            </w:r>
            <w:r w:rsidRPr="00742F10">
              <w:rPr>
                <w:shd w:val="clear" w:color="auto" w:fill="auto"/>
              </w:rPr>
              <w:br/>
              <w:t>(n = 77)</w:t>
            </w:r>
          </w:p>
        </w:tc>
        <w:tc>
          <w:tcPr>
            <w:tcW w:w="1814"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148.16 ± 38.04</w:t>
            </w:r>
          </w:p>
        </w:tc>
        <w:tc>
          <w:tcPr>
            <w:tcW w:w="141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140.69</w:t>
            </w:r>
          </w:p>
        </w:tc>
        <w:tc>
          <w:tcPr>
            <w:tcW w:w="1134"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0.07</w:t>
            </w:r>
          </w:p>
        </w:tc>
      </w:tr>
      <w:tr w:rsidR="00742F10" w:rsidRPr="00742F10" w:rsidTr="00742F10">
        <w:trPr>
          <w:cantSplit/>
          <w:jc w:val="center"/>
        </w:trPr>
        <w:tc>
          <w:tcPr>
            <w:tcW w:w="1701"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MMP-2</w:t>
            </w:r>
            <w:r w:rsidRPr="00742F10">
              <w:rPr>
                <w:shd w:val="clear" w:color="auto" w:fill="auto"/>
              </w:rPr>
              <w:br/>
              <w:t>(ng/mL)</w:t>
            </w:r>
          </w:p>
        </w:tc>
        <w:tc>
          <w:tcPr>
            <w:tcW w:w="2494" w:type="dxa"/>
            <w:shd w:val="clear" w:color="auto" w:fill="FFFFFF" w:themeFill="background1"/>
            <w:vAlign w:val="center"/>
          </w:tcPr>
          <w:p w:rsidR="00742F10" w:rsidRPr="00742F10" w:rsidRDefault="00742F10" w:rsidP="00742F10">
            <w:pPr>
              <w:ind w:firstLine="0"/>
              <w:jc w:val="left"/>
              <w:rPr>
                <w:shd w:val="clear" w:color="auto" w:fill="auto"/>
              </w:rPr>
            </w:pPr>
            <w:r w:rsidRPr="00742F10">
              <w:rPr>
                <w:shd w:val="clear" w:color="auto" w:fill="auto"/>
              </w:rPr>
              <w:t>LAD ≥ 40 mm</w:t>
            </w:r>
            <w:r w:rsidRPr="00742F10">
              <w:rPr>
                <w:shd w:val="clear" w:color="auto" w:fill="auto"/>
              </w:rPr>
              <w:br/>
              <w:t>(n = 33)</w:t>
            </w:r>
          </w:p>
        </w:tc>
        <w:tc>
          <w:tcPr>
            <w:tcW w:w="1814"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158.40 ± 36.47</w:t>
            </w:r>
          </w:p>
        </w:tc>
        <w:tc>
          <w:tcPr>
            <w:tcW w:w="141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158.52</w:t>
            </w:r>
          </w:p>
        </w:tc>
        <w:tc>
          <w:tcPr>
            <w:tcW w:w="1134"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0.07</w:t>
            </w:r>
          </w:p>
        </w:tc>
      </w:tr>
      <w:tr w:rsidR="00742F10" w:rsidRPr="00742F10" w:rsidTr="00742F10">
        <w:trPr>
          <w:cantSplit/>
          <w:jc w:val="center"/>
        </w:trPr>
        <w:tc>
          <w:tcPr>
            <w:tcW w:w="1701"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MMP-2</w:t>
            </w:r>
            <w:r w:rsidRPr="00742F10">
              <w:rPr>
                <w:shd w:val="clear" w:color="auto" w:fill="auto"/>
              </w:rPr>
              <w:br/>
              <w:t>(ng/mL)</w:t>
            </w:r>
          </w:p>
        </w:tc>
        <w:tc>
          <w:tcPr>
            <w:tcW w:w="2494" w:type="dxa"/>
            <w:shd w:val="clear" w:color="auto" w:fill="FFFFFF" w:themeFill="background1"/>
            <w:vAlign w:val="center"/>
          </w:tcPr>
          <w:p w:rsidR="00742F10" w:rsidRPr="00742F10" w:rsidRDefault="00742F10" w:rsidP="00742F10">
            <w:pPr>
              <w:ind w:firstLine="0"/>
              <w:jc w:val="left"/>
              <w:rPr>
                <w:shd w:val="clear" w:color="auto" w:fill="auto"/>
              </w:rPr>
            </w:pPr>
            <w:proofErr w:type="spellStart"/>
            <w:r w:rsidRPr="00742F10">
              <w:rPr>
                <w:shd w:val="clear" w:color="auto" w:fill="auto"/>
              </w:rPr>
              <w:t>LADi</w:t>
            </w:r>
            <w:proofErr w:type="spellEnd"/>
            <w:r w:rsidRPr="00742F10">
              <w:rPr>
                <w:shd w:val="clear" w:color="auto" w:fill="auto"/>
              </w:rPr>
              <w:t xml:space="preserve"> &lt; 22 mm/m²</w:t>
            </w:r>
            <w:r w:rsidRPr="00742F10">
              <w:rPr>
                <w:shd w:val="clear" w:color="auto" w:fill="auto"/>
              </w:rPr>
              <w:br/>
              <w:t>(n = 63)</w:t>
            </w:r>
          </w:p>
        </w:tc>
        <w:tc>
          <w:tcPr>
            <w:tcW w:w="1814"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141.79 ± 32.62</w:t>
            </w:r>
          </w:p>
        </w:tc>
        <w:tc>
          <w:tcPr>
            <w:tcW w:w="141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136.84</w:t>
            </w:r>
          </w:p>
        </w:tc>
        <w:tc>
          <w:tcPr>
            <w:tcW w:w="1134"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0.0011</w:t>
            </w:r>
          </w:p>
        </w:tc>
      </w:tr>
      <w:tr w:rsidR="00742F10" w:rsidRPr="00742F10" w:rsidTr="00742F10">
        <w:trPr>
          <w:cantSplit/>
          <w:jc w:val="center"/>
        </w:trPr>
        <w:tc>
          <w:tcPr>
            <w:tcW w:w="1701"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lastRenderedPageBreak/>
              <w:t>MMP-2</w:t>
            </w:r>
            <w:r w:rsidRPr="00742F10">
              <w:rPr>
                <w:shd w:val="clear" w:color="auto" w:fill="auto"/>
              </w:rPr>
              <w:br/>
              <w:t>(ng/mL)</w:t>
            </w:r>
          </w:p>
        </w:tc>
        <w:tc>
          <w:tcPr>
            <w:tcW w:w="2494" w:type="dxa"/>
            <w:shd w:val="clear" w:color="auto" w:fill="FFFFFF" w:themeFill="background1"/>
            <w:vAlign w:val="center"/>
          </w:tcPr>
          <w:p w:rsidR="00742F10" w:rsidRPr="00742F10" w:rsidRDefault="00742F10" w:rsidP="00742F10">
            <w:pPr>
              <w:ind w:firstLine="0"/>
              <w:jc w:val="left"/>
              <w:rPr>
                <w:shd w:val="clear" w:color="auto" w:fill="auto"/>
              </w:rPr>
            </w:pPr>
            <w:proofErr w:type="spellStart"/>
            <w:r w:rsidRPr="00742F10">
              <w:rPr>
                <w:shd w:val="clear" w:color="auto" w:fill="auto"/>
              </w:rPr>
              <w:t>LADi</w:t>
            </w:r>
            <w:proofErr w:type="spellEnd"/>
            <w:r w:rsidRPr="00742F10">
              <w:rPr>
                <w:shd w:val="clear" w:color="auto" w:fill="auto"/>
              </w:rPr>
              <w:t xml:space="preserve"> ≥ 22 mm/m²</w:t>
            </w:r>
            <w:r w:rsidRPr="00742F10">
              <w:rPr>
                <w:shd w:val="clear" w:color="auto" w:fill="auto"/>
              </w:rPr>
              <w:br/>
              <w:t>(n = 47)</w:t>
            </w:r>
          </w:p>
        </w:tc>
        <w:tc>
          <w:tcPr>
            <w:tcW w:w="1814"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163.90 ± 40.60</w:t>
            </w:r>
          </w:p>
        </w:tc>
        <w:tc>
          <w:tcPr>
            <w:tcW w:w="141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166.20</w:t>
            </w:r>
          </w:p>
        </w:tc>
        <w:tc>
          <w:tcPr>
            <w:tcW w:w="1134"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0.0011</w:t>
            </w:r>
          </w:p>
        </w:tc>
      </w:tr>
    </w:tbl>
    <w:p w:rsidR="00742F10" w:rsidRPr="00742F10" w:rsidRDefault="00742F10" w:rsidP="00742F10">
      <w:pPr>
        <w:spacing w:after="80"/>
        <w:ind w:firstLine="0"/>
        <w:jc w:val="left"/>
        <w:rPr>
          <w:rFonts w:eastAsia="Times New Roman"/>
          <w:i/>
          <w:shd w:val="clear" w:color="auto" w:fill="auto"/>
        </w:rPr>
      </w:pPr>
      <w:r w:rsidRPr="00742F10">
        <w:rPr>
          <w:rFonts w:eastAsia="Times New Roman"/>
          <w:i/>
          <w:shd w:val="clear" w:color="auto" w:fill="auto"/>
        </w:rPr>
        <w:t>*p: Mann-Whitney U test for non-normally distributed variables.</w:t>
      </w:r>
    </w:p>
    <w:p w:rsidR="00742F10" w:rsidRPr="00742F10" w:rsidRDefault="00742F10" w:rsidP="00742F10">
      <w:pPr>
        <w:spacing w:after="80"/>
        <w:ind w:firstLine="425"/>
        <w:rPr>
          <w:rFonts w:eastAsia="Times New Roman"/>
          <w:shd w:val="clear" w:color="auto" w:fill="auto"/>
        </w:rPr>
      </w:pPr>
      <w:r w:rsidRPr="00742F10">
        <w:rPr>
          <w:rFonts w:eastAsia="Times New Roman"/>
          <w:b/>
          <w:shd w:val="clear" w:color="auto" w:fill="auto"/>
        </w:rPr>
        <w:t xml:space="preserve">Interpretation: </w:t>
      </w:r>
      <w:r w:rsidRPr="00742F10">
        <w:rPr>
          <w:rFonts w:eastAsia="Times New Roman"/>
          <w:shd w:val="clear" w:color="auto" w:fill="auto"/>
        </w:rPr>
        <w:t xml:space="preserve">When stratified by indexed left atrial diameter, patients with </w:t>
      </w:r>
      <w:proofErr w:type="spellStart"/>
      <w:r w:rsidRPr="00742F10">
        <w:rPr>
          <w:rFonts w:eastAsia="Times New Roman"/>
          <w:shd w:val="clear" w:color="auto" w:fill="auto"/>
        </w:rPr>
        <w:t>LADi</w:t>
      </w:r>
      <w:proofErr w:type="spellEnd"/>
      <w:r w:rsidRPr="00742F10">
        <w:rPr>
          <w:rFonts w:eastAsia="Times New Roman"/>
          <w:shd w:val="clear" w:color="auto" w:fill="auto"/>
        </w:rPr>
        <w:t xml:space="preserve"> ≥ 22 mm/m² had significantly higher MMP-2 concentrations than the remaining group.</w:t>
      </w:r>
    </w:p>
    <w:p w:rsidR="00742F10" w:rsidRPr="00742F10" w:rsidRDefault="00742F10" w:rsidP="00742F10">
      <w:pPr>
        <w:keepNext/>
        <w:spacing w:before="120" w:after="80"/>
        <w:ind w:firstLine="0"/>
        <w:jc w:val="center"/>
        <w:rPr>
          <w:rFonts w:eastAsia="Times New Roman"/>
          <w:shd w:val="clear" w:color="auto" w:fill="auto"/>
        </w:rPr>
      </w:pPr>
      <w:r w:rsidRPr="00742F10">
        <w:rPr>
          <w:rFonts w:eastAsia="Times New Roman"/>
          <w:shd w:val="clear" w:color="auto" w:fill="auto"/>
        </w:rPr>
        <w:t>Table 3.20. OPN concentrations according to echocardiographic left atrial diameter subgroups (n = 110)</w:t>
      </w:r>
    </w:p>
    <w:tbl>
      <w:tblPr>
        <w:tblStyle w:val="TableGrid2"/>
        <w:tblW w:w="0" w:type="auto"/>
        <w:jc w:val="center"/>
        <w:shd w:val="clear" w:color="auto" w:fill="FFFFFF" w:themeFill="background1"/>
        <w:tblLook w:val="04A0" w:firstRow="1" w:lastRow="0" w:firstColumn="1" w:lastColumn="0" w:noHBand="0" w:noVBand="1"/>
      </w:tblPr>
      <w:tblGrid>
        <w:gridCol w:w="1376"/>
        <w:gridCol w:w="1623"/>
        <w:gridCol w:w="1159"/>
        <w:gridCol w:w="1102"/>
        <w:gridCol w:w="882"/>
      </w:tblGrid>
      <w:tr w:rsidR="00742F10" w:rsidRPr="00742F10" w:rsidTr="00742F10">
        <w:trPr>
          <w:tblHeader/>
          <w:jc w:val="center"/>
        </w:trPr>
        <w:tc>
          <w:tcPr>
            <w:tcW w:w="1701"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Biomarker</w:t>
            </w:r>
          </w:p>
        </w:tc>
        <w:tc>
          <w:tcPr>
            <w:tcW w:w="2494"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Left atrial diameter subgroup</w:t>
            </w:r>
          </w:p>
        </w:tc>
        <w:tc>
          <w:tcPr>
            <w:tcW w:w="1814"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Mean ± SD</w:t>
            </w:r>
          </w:p>
        </w:tc>
        <w:tc>
          <w:tcPr>
            <w:tcW w:w="141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Median</w:t>
            </w:r>
          </w:p>
        </w:tc>
        <w:tc>
          <w:tcPr>
            <w:tcW w:w="1134"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p</w:t>
            </w:r>
          </w:p>
        </w:tc>
      </w:tr>
      <w:tr w:rsidR="00742F10" w:rsidRPr="00742F10" w:rsidTr="00742F10">
        <w:trPr>
          <w:cantSplit/>
          <w:jc w:val="center"/>
        </w:trPr>
        <w:tc>
          <w:tcPr>
            <w:tcW w:w="1701"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OPN</w:t>
            </w:r>
            <w:r w:rsidRPr="00742F10">
              <w:rPr>
                <w:shd w:val="clear" w:color="auto" w:fill="auto"/>
              </w:rPr>
              <w:br/>
              <w:t>(ng/mL)</w:t>
            </w:r>
          </w:p>
        </w:tc>
        <w:tc>
          <w:tcPr>
            <w:tcW w:w="2494" w:type="dxa"/>
            <w:shd w:val="clear" w:color="auto" w:fill="FFFFFF" w:themeFill="background1"/>
            <w:vAlign w:val="center"/>
          </w:tcPr>
          <w:p w:rsidR="00742F10" w:rsidRPr="00742F10" w:rsidRDefault="00742F10" w:rsidP="00742F10">
            <w:pPr>
              <w:ind w:firstLine="0"/>
              <w:jc w:val="left"/>
              <w:rPr>
                <w:shd w:val="clear" w:color="auto" w:fill="auto"/>
              </w:rPr>
            </w:pPr>
            <w:r w:rsidRPr="00742F10">
              <w:rPr>
                <w:shd w:val="clear" w:color="auto" w:fill="auto"/>
              </w:rPr>
              <w:t>LAD &lt; 40 mm</w:t>
            </w:r>
            <w:r w:rsidRPr="00742F10">
              <w:rPr>
                <w:shd w:val="clear" w:color="auto" w:fill="auto"/>
              </w:rPr>
              <w:br/>
              <w:t>(n = 77)</w:t>
            </w:r>
          </w:p>
        </w:tc>
        <w:tc>
          <w:tcPr>
            <w:tcW w:w="1814"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34.48 ± 12.10</w:t>
            </w:r>
          </w:p>
        </w:tc>
        <w:tc>
          <w:tcPr>
            <w:tcW w:w="141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32.77</w:t>
            </w:r>
          </w:p>
        </w:tc>
        <w:tc>
          <w:tcPr>
            <w:tcW w:w="1134"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0.3</w:t>
            </w:r>
          </w:p>
        </w:tc>
      </w:tr>
      <w:tr w:rsidR="00742F10" w:rsidRPr="00742F10" w:rsidTr="00742F10">
        <w:trPr>
          <w:cantSplit/>
          <w:jc w:val="center"/>
        </w:trPr>
        <w:tc>
          <w:tcPr>
            <w:tcW w:w="1701"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OPN</w:t>
            </w:r>
            <w:r w:rsidRPr="00742F10">
              <w:rPr>
                <w:shd w:val="clear" w:color="auto" w:fill="auto"/>
              </w:rPr>
              <w:br/>
              <w:t>(ng/mL)</w:t>
            </w:r>
          </w:p>
        </w:tc>
        <w:tc>
          <w:tcPr>
            <w:tcW w:w="2494" w:type="dxa"/>
            <w:shd w:val="clear" w:color="auto" w:fill="FFFFFF" w:themeFill="background1"/>
            <w:vAlign w:val="center"/>
          </w:tcPr>
          <w:p w:rsidR="00742F10" w:rsidRPr="00742F10" w:rsidRDefault="00742F10" w:rsidP="00742F10">
            <w:pPr>
              <w:ind w:firstLine="0"/>
              <w:jc w:val="left"/>
              <w:rPr>
                <w:shd w:val="clear" w:color="auto" w:fill="auto"/>
              </w:rPr>
            </w:pPr>
            <w:r w:rsidRPr="00742F10">
              <w:rPr>
                <w:shd w:val="clear" w:color="auto" w:fill="auto"/>
              </w:rPr>
              <w:t>LAD ≥ 40 mm</w:t>
            </w:r>
            <w:r w:rsidRPr="00742F10">
              <w:rPr>
                <w:shd w:val="clear" w:color="auto" w:fill="auto"/>
              </w:rPr>
              <w:br/>
              <w:t>(n = 33)</w:t>
            </w:r>
          </w:p>
        </w:tc>
        <w:tc>
          <w:tcPr>
            <w:tcW w:w="1814"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38.24 ± 17.32</w:t>
            </w:r>
          </w:p>
        </w:tc>
        <w:tc>
          <w:tcPr>
            <w:tcW w:w="141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34.94</w:t>
            </w:r>
          </w:p>
        </w:tc>
        <w:tc>
          <w:tcPr>
            <w:tcW w:w="1134"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0.3</w:t>
            </w:r>
          </w:p>
        </w:tc>
      </w:tr>
      <w:tr w:rsidR="00742F10" w:rsidRPr="00742F10" w:rsidTr="00742F10">
        <w:trPr>
          <w:cantSplit/>
          <w:jc w:val="center"/>
        </w:trPr>
        <w:tc>
          <w:tcPr>
            <w:tcW w:w="1701"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OPN</w:t>
            </w:r>
            <w:r w:rsidRPr="00742F10">
              <w:rPr>
                <w:shd w:val="clear" w:color="auto" w:fill="auto"/>
              </w:rPr>
              <w:br/>
              <w:t>(ng/mL)</w:t>
            </w:r>
          </w:p>
        </w:tc>
        <w:tc>
          <w:tcPr>
            <w:tcW w:w="2494" w:type="dxa"/>
            <w:shd w:val="clear" w:color="auto" w:fill="FFFFFF" w:themeFill="background1"/>
            <w:vAlign w:val="center"/>
          </w:tcPr>
          <w:p w:rsidR="00742F10" w:rsidRPr="00742F10" w:rsidRDefault="00742F10" w:rsidP="00742F10">
            <w:pPr>
              <w:ind w:firstLine="0"/>
              <w:jc w:val="left"/>
              <w:rPr>
                <w:shd w:val="clear" w:color="auto" w:fill="auto"/>
              </w:rPr>
            </w:pPr>
            <w:proofErr w:type="spellStart"/>
            <w:r w:rsidRPr="00742F10">
              <w:rPr>
                <w:shd w:val="clear" w:color="auto" w:fill="auto"/>
              </w:rPr>
              <w:t>LADi</w:t>
            </w:r>
            <w:proofErr w:type="spellEnd"/>
            <w:r w:rsidRPr="00742F10">
              <w:rPr>
                <w:shd w:val="clear" w:color="auto" w:fill="auto"/>
              </w:rPr>
              <w:t xml:space="preserve"> &lt; 22 mm/m²</w:t>
            </w:r>
            <w:r w:rsidRPr="00742F10">
              <w:rPr>
                <w:shd w:val="clear" w:color="auto" w:fill="auto"/>
              </w:rPr>
              <w:br/>
              <w:t>(n = 63)</w:t>
            </w:r>
          </w:p>
        </w:tc>
        <w:tc>
          <w:tcPr>
            <w:tcW w:w="1814"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32.60 ± 9.91</w:t>
            </w:r>
          </w:p>
        </w:tc>
        <w:tc>
          <w:tcPr>
            <w:tcW w:w="141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30.913</w:t>
            </w:r>
          </w:p>
        </w:tc>
        <w:tc>
          <w:tcPr>
            <w:tcW w:w="1134"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0.023</w:t>
            </w:r>
          </w:p>
        </w:tc>
      </w:tr>
      <w:tr w:rsidR="00742F10" w:rsidRPr="00742F10" w:rsidTr="00742F10">
        <w:trPr>
          <w:cantSplit/>
          <w:jc w:val="center"/>
        </w:trPr>
        <w:tc>
          <w:tcPr>
            <w:tcW w:w="1701"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OPN</w:t>
            </w:r>
            <w:r w:rsidRPr="00742F10">
              <w:rPr>
                <w:shd w:val="clear" w:color="auto" w:fill="auto"/>
              </w:rPr>
              <w:br/>
              <w:t>(ng/mL)</w:t>
            </w:r>
          </w:p>
        </w:tc>
        <w:tc>
          <w:tcPr>
            <w:tcW w:w="2494" w:type="dxa"/>
            <w:shd w:val="clear" w:color="auto" w:fill="FFFFFF" w:themeFill="background1"/>
            <w:vAlign w:val="center"/>
          </w:tcPr>
          <w:p w:rsidR="00742F10" w:rsidRPr="00742F10" w:rsidRDefault="00742F10" w:rsidP="00742F10">
            <w:pPr>
              <w:ind w:firstLine="0"/>
              <w:jc w:val="left"/>
              <w:rPr>
                <w:shd w:val="clear" w:color="auto" w:fill="auto"/>
              </w:rPr>
            </w:pPr>
            <w:proofErr w:type="spellStart"/>
            <w:r w:rsidRPr="00742F10">
              <w:rPr>
                <w:shd w:val="clear" w:color="auto" w:fill="auto"/>
              </w:rPr>
              <w:t>LADi</w:t>
            </w:r>
            <w:proofErr w:type="spellEnd"/>
            <w:r w:rsidRPr="00742F10">
              <w:rPr>
                <w:shd w:val="clear" w:color="auto" w:fill="auto"/>
              </w:rPr>
              <w:t xml:space="preserve"> ≥ 22 mm/m²</w:t>
            </w:r>
            <w:r w:rsidRPr="00742F10">
              <w:rPr>
                <w:shd w:val="clear" w:color="auto" w:fill="auto"/>
              </w:rPr>
              <w:br/>
              <w:t>(n = 47)</w:t>
            </w:r>
          </w:p>
        </w:tc>
        <w:tc>
          <w:tcPr>
            <w:tcW w:w="1814"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39.66 ± 17.22</w:t>
            </w:r>
          </w:p>
        </w:tc>
        <w:tc>
          <w:tcPr>
            <w:tcW w:w="141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38.059</w:t>
            </w:r>
          </w:p>
        </w:tc>
        <w:tc>
          <w:tcPr>
            <w:tcW w:w="1134"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0.023</w:t>
            </w:r>
          </w:p>
        </w:tc>
      </w:tr>
    </w:tbl>
    <w:p w:rsidR="00742F10" w:rsidRPr="00742F10" w:rsidRDefault="00742F10" w:rsidP="00742F10">
      <w:pPr>
        <w:spacing w:after="80"/>
        <w:ind w:firstLine="0"/>
        <w:jc w:val="left"/>
        <w:rPr>
          <w:rFonts w:eastAsia="Times New Roman"/>
          <w:i/>
          <w:shd w:val="clear" w:color="auto" w:fill="auto"/>
        </w:rPr>
      </w:pPr>
      <w:r w:rsidRPr="00742F10">
        <w:rPr>
          <w:rFonts w:eastAsia="Times New Roman"/>
          <w:i/>
          <w:shd w:val="clear" w:color="auto" w:fill="auto"/>
        </w:rPr>
        <w:t>*p: Mann-Whitney U test for non-normally distributed variables.</w:t>
      </w:r>
    </w:p>
    <w:p w:rsidR="00742F10" w:rsidRPr="00742F10" w:rsidRDefault="00742F10" w:rsidP="00742F10">
      <w:pPr>
        <w:spacing w:after="80"/>
        <w:ind w:firstLine="425"/>
        <w:rPr>
          <w:rFonts w:eastAsia="Times New Roman"/>
          <w:shd w:val="clear" w:color="auto" w:fill="auto"/>
        </w:rPr>
      </w:pPr>
      <w:r w:rsidRPr="00742F10">
        <w:rPr>
          <w:rFonts w:eastAsia="Times New Roman"/>
          <w:b/>
          <w:shd w:val="clear" w:color="auto" w:fill="auto"/>
        </w:rPr>
        <w:t xml:space="preserve">Interpretation: </w:t>
      </w:r>
      <w:r w:rsidRPr="00742F10">
        <w:rPr>
          <w:rFonts w:eastAsia="Times New Roman"/>
          <w:shd w:val="clear" w:color="auto" w:fill="auto"/>
        </w:rPr>
        <w:t xml:space="preserve">OPN concentrations tended to be higher in the LAD ≥ 40 mm group, but the difference was not statistically significant in non-parametric testing. When stratified by </w:t>
      </w:r>
      <w:proofErr w:type="spellStart"/>
      <w:r w:rsidRPr="00742F10">
        <w:rPr>
          <w:rFonts w:eastAsia="Times New Roman"/>
          <w:shd w:val="clear" w:color="auto" w:fill="auto"/>
        </w:rPr>
        <w:t>LADi</w:t>
      </w:r>
      <w:proofErr w:type="spellEnd"/>
      <w:r w:rsidRPr="00742F10">
        <w:rPr>
          <w:rFonts w:eastAsia="Times New Roman"/>
          <w:shd w:val="clear" w:color="auto" w:fill="auto"/>
        </w:rPr>
        <w:t xml:space="preserve">, OPN concentrations in the </w:t>
      </w:r>
      <w:proofErr w:type="spellStart"/>
      <w:r w:rsidRPr="00742F10">
        <w:rPr>
          <w:rFonts w:eastAsia="Times New Roman"/>
          <w:shd w:val="clear" w:color="auto" w:fill="auto"/>
        </w:rPr>
        <w:t>LADi</w:t>
      </w:r>
      <w:proofErr w:type="spellEnd"/>
      <w:r w:rsidRPr="00742F10">
        <w:rPr>
          <w:rFonts w:eastAsia="Times New Roman"/>
          <w:shd w:val="clear" w:color="auto" w:fill="auto"/>
        </w:rPr>
        <w:t xml:space="preserve"> ≥ 22 mm/m² group were significantly higher than in the remaining group.</w:t>
      </w:r>
    </w:p>
    <w:p w:rsidR="00742F10" w:rsidRPr="00742F10" w:rsidRDefault="00742F10" w:rsidP="00742F10">
      <w:pPr>
        <w:keepNext/>
        <w:keepLines/>
        <w:spacing w:before="120" w:after="80"/>
        <w:ind w:firstLine="0"/>
        <w:jc w:val="left"/>
        <w:outlineLvl w:val="2"/>
        <w:rPr>
          <w:rFonts w:eastAsia="MS Gothic"/>
          <w:b/>
          <w:bCs/>
          <w:shd w:val="clear" w:color="auto" w:fill="auto"/>
        </w:rPr>
      </w:pPr>
      <w:r w:rsidRPr="00742F10">
        <w:rPr>
          <w:rFonts w:eastAsia="Times New Roman"/>
          <w:b/>
          <w:bCs/>
          <w:shd w:val="clear" w:color="auto" w:fill="auto"/>
        </w:rPr>
        <w:lastRenderedPageBreak/>
        <w:t>3.2.6. Comparison of plasma MMP-2 and OPN concentrations between patients with atrial fibrillation and controls</w:t>
      </w:r>
    </w:p>
    <w:p w:rsidR="00742F10" w:rsidRPr="00742F10" w:rsidRDefault="00742F10" w:rsidP="00742F10">
      <w:pPr>
        <w:keepNext/>
        <w:spacing w:before="120" w:after="80"/>
        <w:ind w:firstLine="0"/>
        <w:jc w:val="center"/>
        <w:rPr>
          <w:rFonts w:eastAsia="Times New Roman"/>
          <w:shd w:val="clear" w:color="auto" w:fill="auto"/>
        </w:rPr>
      </w:pPr>
      <w:r w:rsidRPr="00742F10">
        <w:rPr>
          <w:rFonts w:eastAsia="Times New Roman"/>
          <w:shd w:val="clear" w:color="auto" w:fill="auto"/>
        </w:rPr>
        <w:t>Table 3.23. Comparison of MMP-2 and OPN results between the patient and control groups</w:t>
      </w:r>
    </w:p>
    <w:tbl>
      <w:tblPr>
        <w:tblStyle w:val="TableGrid2"/>
        <w:tblW w:w="0" w:type="auto"/>
        <w:jc w:val="center"/>
        <w:shd w:val="clear" w:color="auto" w:fill="FFFFFF" w:themeFill="background1"/>
        <w:tblLook w:val="04A0" w:firstRow="1" w:lastRow="0" w:firstColumn="1" w:lastColumn="0" w:noHBand="0" w:noVBand="1"/>
      </w:tblPr>
      <w:tblGrid>
        <w:gridCol w:w="1288"/>
        <w:gridCol w:w="1509"/>
        <w:gridCol w:w="1318"/>
        <w:gridCol w:w="1126"/>
        <w:gridCol w:w="901"/>
      </w:tblGrid>
      <w:tr w:rsidR="00742F10" w:rsidRPr="00742F10" w:rsidTr="00742F10">
        <w:trPr>
          <w:tblHeader/>
          <w:jc w:val="center"/>
        </w:trPr>
        <w:tc>
          <w:tcPr>
            <w:tcW w:w="1701"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Index</w:t>
            </w:r>
          </w:p>
        </w:tc>
        <w:tc>
          <w:tcPr>
            <w:tcW w:w="2268"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Group</w:t>
            </w:r>
          </w:p>
        </w:tc>
        <w:tc>
          <w:tcPr>
            <w:tcW w:w="192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Mean ± SD</w:t>
            </w:r>
          </w:p>
        </w:tc>
        <w:tc>
          <w:tcPr>
            <w:tcW w:w="141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Median</w:t>
            </w:r>
          </w:p>
        </w:tc>
        <w:tc>
          <w:tcPr>
            <w:tcW w:w="1134"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p</w:t>
            </w:r>
          </w:p>
        </w:tc>
      </w:tr>
      <w:tr w:rsidR="00742F10" w:rsidRPr="00742F10" w:rsidTr="00742F10">
        <w:trPr>
          <w:cantSplit/>
          <w:jc w:val="center"/>
        </w:trPr>
        <w:tc>
          <w:tcPr>
            <w:tcW w:w="1701"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MMP-2</w:t>
            </w:r>
            <w:r w:rsidRPr="00742F10">
              <w:rPr>
                <w:shd w:val="clear" w:color="auto" w:fill="auto"/>
              </w:rPr>
              <w:br/>
              <w:t>(ng/mL)</w:t>
            </w:r>
          </w:p>
        </w:tc>
        <w:tc>
          <w:tcPr>
            <w:tcW w:w="2268" w:type="dxa"/>
            <w:shd w:val="clear" w:color="auto" w:fill="FFFFFF" w:themeFill="background1"/>
            <w:vAlign w:val="center"/>
          </w:tcPr>
          <w:p w:rsidR="00742F10" w:rsidRPr="00742F10" w:rsidRDefault="00742F10" w:rsidP="00742F10">
            <w:pPr>
              <w:ind w:firstLine="0"/>
              <w:jc w:val="left"/>
              <w:rPr>
                <w:shd w:val="clear" w:color="auto" w:fill="auto"/>
              </w:rPr>
            </w:pPr>
            <w:r w:rsidRPr="00742F10">
              <w:rPr>
                <w:shd w:val="clear" w:color="auto" w:fill="auto"/>
              </w:rPr>
              <w:t>AF group</w:t>
            </w:r>
            <w:r w:rsidRPr="00742F10">
              <w:rPr>
                <w:shd w:val="clear" w:color="auto" w:fill="auto"/>
              </w:rPr>
              <w:br/>
              <w:t>(n = 110)</w:t>
            </w:r>
          </w:p>
        </w:tc>
        <w:tc>
          <w:tcPr>
            <w:tcW w:w="192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151.23 ± 37.70</w:t>
            </w:r>
          </w:p>
        </w:tc>
        <w:tc>
          <w:tcPr>
            <w:tcW w:w="141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150.00</w:t>
            </w:r>
          </w:p>
        </w:tc>
        <w:tc>
          <w:tcPr>
            <w:tcW w:w="1134"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&lt; 0.001</w:t>
            </w:r>
          </w:p>
        </w:tc>
      </w:tr>
      <w:tr w:rsidR="00742F10" w:rsidRPr="00742F10" w:rsidTr="00742F10">
        <w:trPr>
          <w:cantSplit/>
          <w:jc w:val="center"/>
        </w:trPr>
        <w:tc>
          <w:tcPr>
            <w:tcW w:w="1701"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MMP-2</w:t>
            </w:r>
            <w:r w:rsidRPr="00742F10">
              <w:rPr>
                <w:shd w:val="clear" w:color="auto" w:fill="auto"/>
              </w:rPr>
              <w:br/>
              <w:t>(ng/mL)</w:t>
            </w:r>
          </w:p>
        </w:tc>
        <w:tc>
          <w:tcPr>
            <w:tcW w:w="2268" w:type="dxa"/>
            <w:shd w:val="clear" w:color="auto" w:fill="FFFFFF" w:themeFill="background1"/>
            <w:vAlign w:val="center"/>
          </w:tcPr>
          <w:p w:rsidR="00742F10" w:rsidRPr="00742F10" w:rsidRDefault="00742F10" w:rsidP="00742F10">
            <w:pPr>
              <w:ind w:firstLine="0"/>
              <w:jc w:val="left"/>
              <w:rPr>
                <w:shd w:val="clear" w:color="auto" w:fill="auto"/>
              </w:rPr>
            </w:pPr>
            <w:r w:rsidRPr="00742F10">
              <w:rPr>
                <w:shd w:val="clear" w:color="auto" w:fill="auto"/>
              </w:rPr>
              <w:t>Control group</w:t>
            </w:r>
            <w:r w:rsidRPr="00742F10">
              <w:rPr>
                <w:shd w:val="clear" w:color="auto" w:fill="auto"/>
              </w:rPr>
              <w:br/>
              <w:t>(n = 50)</w:t>
            </w:r>
          </w:p>
        </w:tc>
        <w:tc>
          <w:tcPr>
            <w:tcW w:w="192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110.15 ± 48.29</w:t>
            </w:r>
          </w:p>
        </w:tc>
        <w:tc>
          <w:tcPr>
            <w:tcW w:w="141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99.44</w:t>
            </w:r>
          </w:p>
        </w:tc>
        <w:tc>
          <w:tcPr>
            <w:tcW w:w="1134"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&lt; 0.001</w:t>
            </w:r>
          </w:p>
        </w:tc>
      </w:tr>
      <w:tr w:rsidR="00742F10" w:rsidRPr="00742F10" w:rsidTr="00742F10">
        <w:trPr>
          <w:cantSplit/>
          <w:jc w:val="center"/>
        </w:trPr>
        <w:tc>
          <w:tcPr>
            <w:tcW w:w="1701"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OPN</w:t>
            </w:r>
            <w:r w:rsidRPr="00742F10">
              <w:rPr>
                <w:shd w:val="clear" w:color="auto" w:fill="auto"/>
              </w:rPr>
              <w:br/>
              <w:t>(ng/mL)</w:t>
            </w:r>
          </w:p>
        </w:tc>
        <w:tc>
          <w:tcPr>
            <w:tcW w:w="2268" w:type="dxa"/>
            <w:shd w:val="clear" w:color="auto" w:fill="FFFFFF" w:themeFill="background1"/>
            <w:vAlign w:val="center"/>
          </w:tcPr>
          <w:p w:rsidR="00742F10" w:rsidRPr="00742F10" w:rsidRDefault="00742F10" w:rsidP="00742F10">
            <w:pPr>
              <w:ind w:firstLine="0"/>
              <w:jc w:val="left"/>
              <w:rPr>
                <w:shd w:val="clear" w:color="auto" w:fill="auto"/>
              </w:rPr>
            </w:pPr>
            <w:r w:rsidRPr="00742F10">
              <w:rPr>
                <w:shd w:val="clear" w:color="auto" w:fill="auto"/>
              </w:rPr>
              <w:t>AF group</w:t>
            </w:r>
            <w:r w:rsidRPr="00742F10">
              <w:rPr>
                <w:shd w:val="clear" w:color="auto" w:fill="auto"/>
              </w:rPr>
              <w:br/>
              <w:t>(n = 110)</w:t>
            </w:r>
          </w:p>
        </w:tc>
        <w:tc>
          <w:tcPr>
            <w:tcW w:w="192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35.61 ± 13.90</w:t>
            </w:r>
          </w:p>
        </w:tc>
        <w:tc>
          <w:tcPr>
            <w:tcW w:w="141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33.30</w:t>
            </w:r>
          </w:p>
        </w:tc>
        <w:tc>
          <w:tcPr>
            <w:tcW w:w="1134"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&lt; 0.001</w:t>
            </w:r>
          </w:p>
        </w:tc>
      </w:tr>
      <w:tr w:rsidR="00742F10" w:rsidRPr="00742F10" w:rsidTr="00742F10">
        <w:trPr>
          <w:cantSplit/>
          <w:jc w:val="center"/>
        </w:trPr>
        <w:tc>
          <w:tcPr>
            <w:tcW w:w="1701"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OPN</w:t>
            </w:r>
            <w:r w:rsidRPr="00742F10">
              <w:rPr>
                <w:shd w:val="clear" w:color="auto" w:fill="auto"/>
              </w:rPr>
              <w:br/>
              <w:t>(ng/mL)</w:t>
            </w:r>
          </w:p>
        </w:tc>
        <w:tc>
          <w:tcPr>
            <w:tcW w:w="2268" w:type="dxa"/>
            <w:shd w:val="clear" w:color="auto" w:fill="FFFFFF" w:themeFill="background1"/>
            <w:vAlign w:val="center"/>
          </w:tcPr>
          <w:p w:rsidR="00742F10" w:rsidRPr="00742F10" w:rsidRDefault="00742F10" w:rsidP="00742F10">
            <w:pPr>
              <w:ind w:firstLine="0"/>
              <w:jc w:val="left"/>
              <w:rPr>
                <w:shd w:val="clear" w:color="auto" w:fill="auto"/>
              </w:rPr>
            </w:pPr>
            <w:r w:rsidRPr="00742F10">
              <w:rPr>
                <w:shd w:val="clear" w:color="auto" w:fill="auto"/>
              </w:rPr>
              <w:t>Control group</w:t>
            </w:r>
            <w:r w:rsidRPr="00742F10">
              <w:rPr>
                <w:shd w:val="clear" w:color="auto" w:fill="auto"/>
              </w:rPr>
              <w:br/>
              <w:t>(n = 50)</w:t>
            </w:r>
          </w:p>
        </w:tc>
        <w:tc>
          <w:tcPr>
            <w:tcW w:w="192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15.16 ± 10.17</w:t>
            </w:r>
          </w:p>
        </w:tc>
        <w:tc>
          <w:tcPr>
            <w:tcW w:w="141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14.04</w:t>
            </w:r>
          </w:p>
        </w:tc>
        <w:tc>
          <w:tcPr>
            <w:tcW w:w="1134"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&lt; 0.001</w:t>
            </w:r>
          </w:p>
        </w:tc>
      </w:tr>
    </w:tbl>
    <w:p w:rsidR="00742F10" w:rsidRPr="00742F10" w:rsidRDefault="00742F10" w:rsidP="00742F10">
      <w:pPr>
        <w:spacing w:after="80"/>
        <w:ind w:firstLine="0"/>
        <w:jc w:val="left"/>
        <w:rPr>
          <w:rFonts w:eastAsia="Times New Roman"/>
          <w:i/>
          <w:shd w:val="clear" w:color="auto" w:fill="auto"/>
        </w:rPr>
      </w:pPr>
      <w:r w:rsidRPr="00742F10">
        <w:rPr>
          <w:rFonts w:eastAsia="Times New Roman"/>
          <w:i/>
          <w:shd w:val="clear" w:color="auto" w:fill="auto"/>
        </w:rPr>
        <w:t>*p: Mann-Whitney U test for non-normally distributed variables.</w:t>
      </w:r>
    </w:p>
    <w:p w:rsidR="00742F10" w:rsidRPr="00742F10" w:rsidRDefault="00742F10" w:rsidP="00742F10">
      <w:pPr>
        <w:spacing w:after="80"/>
        <w:ind w:firstLine="425"/>
        <w:rPr>
          <w:rFonts w:eastAsia="Times New Roman"/>
          <w:shd w:val="clear" w:color="auto" w:fill="auto"/>
        </w:rPr>
      </w:pPr>
      <w:r w:rsidRPr="00742F10">
        <w:rPr>
          <w:rFonts w:eastAsia="Times New Roman"/>
          <w:b/>
          <w:shd w:val="clear" w:color="auto" w:fill="auto"/>
        </w:rPr>
        <w:t xml:space="preserve">Interpretation: </w:t>
      </w:r>
      <w:r w:rsidRPr="00742F10">
        <w:rPr>
          <w:rFonts w:eastAsia="Times New Roman"/>
          <w:shd w:val="clear" w:color="auto" w:fill="auto"/>
        </w:rPr>
        <w:t>Plasma MMP-2 and OPN concentrations in the AF patient group were higher than in the control group. The differences were statistically significant with p &lt; 0.05 in non-parametric testing.</w:t>
      </w:r>
    </w:p>
    <w:p w:rsidR="00742F10" w:rsidRPr="00742F10" w:rsidRDefault="00742F10" w:rsidP="00742F10">
      <w:pPr>
        <w:keepNext/>
        <w:keepLines/>
        <w:spacing w:before="120" w:after="80"/>
        <w:ind w:firstLine="0"/>
        <w:jc w:val="left"/>
        <w:outlineLvl w:val="2"/>
        <w:rPr>
          <w:rFonts w:eastAsia="MS Gothic"/>
          <w:b/>
          <w:bCs/>
          <w:shd w:val="clear" w:color="auto" w:fill="auto"/>
        </w:rPr>
      </w:pPr>
      <w:r w:rsidRPr="00742F10">
        <w:rPr>
          <w:rFonts w:eastAsia="Times New Roman"/>
          <w:b/>
          <w:bCs/>
          <w:shd w:val="clear" w:color="auto" w:fill="auto"/>
        </w:rPr>
        <w:t>3.2.7. Associations among left atrial morphology, plasma MMP-2, OPN, and NT-</w:t>
      </w:r>
      <w:proofErr w:type="spellStart"/>
      <w:r w:rsidRPr="00742F10">
        <w:rPr>
          <w:rFonts w:eastAsia="Times New Roman"/>
          <w:b/>
          <w:bCs/>
          <w:shd w:val="clear" w:color="auto" w:fill="auto"/>
        </w:rPr>
        <w:t>proBNP</w:t>
      </w:r>
      <w:proofErr w:type="spellEnd"/>
      <w:r w:rsidRPr="00742F10">
        <w:rPr>
          <w:rFonts w:eastAsia="Times New Roman"/>
          <w:b/>
          <w:bCs/>
          <w:shd w:val="clear" w:color="auto" w:fill="auto"/>
        </w:rPr>
        <w:t xml:space="preserve"> concentrations, and clinical characteristics in patients with atrial fibrillation</w:t>
      </w:r>
    </w:p>
    <w:p w:rsidR="00742F10" w:rsidRPr="00742F10" w:rsidRDefault="00742F10" w:rsidP="00742F10">
      <w:pPr>
        <w:keepNext/>
        <w:spacing w:before="120" w:after="80"/>
        <w:ind w:firstLine="0"/>
        <w:jc w:val="center"/>
        <w:rPr>
          <w:rFonts w:eastAsia="Times New Roman"/>
          <w:shd w:val="clear" w:color="auto" w:fill="auto"/>
        </w:rPr>
      </w:pPr>
      <w:r w:rsidRPr="00742F10">
        <w:rPr>
          <w:rFonts w:eastAsia="Times New Roman"/>
          <w:shd w:val="clear" w:color="auto" w:fill="auto"/>
        </w:rPr>
        <w:t>Table 3.26. Correlations of NT-</w:t>
      </w:r>
      <w:proofErr w:type="spellStart"/>
      <w:r w:rsidRPr="00742F10">
        <w:rPr>
          <w:rFonts w:eastAsia="Times New Roman"/>
          <w:shd w:val="clear" w:color="auto" w:fill="auto"/>
        </w:rPr>
        <w:t>proBNP</w:t>
      </w:r>
      <w:proofErr w:type="spellEnd"/>
      <w:r w:rsidRPr="00742F10">
        <w:rPr>
          <w:rFonts w:eastAsia="Times New Roman"/>
          <w:shd w:val="clear" w:color="auto" w:fill="auto"/>
        </w:rPr>
        <w:t>, MMP-2, and OPN concentrations with left atrial dimensions (n = 110)</w:t>
      </w:r>
    </w:p>
    <w:tbl>
      <w:tblPr>
        <w:tblStyle w:val="TableGrid2"/>
        <w:tblW w:w="0" w:type="auto"/>
        <w:jc w:val="center"/>
        <w:shd w:val="clear" w:color="auto" w:fill="FFFFFF" w:themeFill="background1"/>
        <w:tblLook w:val="04A0" w:firstRow="1" w:lastRow="0" w:firstColumn="1" w:lastColumn="0" w:noHBand="0" w:noVBand="1"/>
      </w:tblPr>
      <w:tblGrid>
        <w:gridCol w:w="1464"/>
        <w:gridCol w:w="1025"/>
        <w:gridCol w:w="1197"/>
        <w:gridCol w:w="1253"/>
        <w:gridCol w:w="1203"/>
      </w:tblGrid>
      <w:tr w:rsidR="00742F10" w:rsidRPr="00742F10" w:rsidTr="00742F10">
        <w:trPr>
          <w:tblHeader/>
          <w:jc w:val="center"/>
        </w:trPr>
        <w:tc>
          <w:tcPr>
            <w:tcW w:w="1701"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Index</w:t>
            </w:r>
          </w:p>
        </w:tc>
        <w:tc>
          <w:tcPr>
            <w:tcW w:w="124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r and p</w:t>
            </w:r>
          </w:p>
        </w:tc>
        <w:tc>
          <w:tcPr>
            <w:tcW w:w="141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LAD</w:t>
            </w:r>
          </w:p>
        </w:tc>
        <w:tc>
          <w:tcPr>
            <w:tcW w:w="141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LA-AP_CT</w:t>
            </w:r>
          </w:p>
        </w:tc>
        <w:tc>
          <w:tcPr>
            <w:tcW w:w="1417" w:type="dxa"/>
            <w:shd w:val="clear" w:color="auto" w:fill="FFFFFF" w:themeFill="background1"/>
            <w:vAlign w:val="center"/>
          </w:tcPr>
          <w:p w:rsidR="00742F10" w:rsidRPr="00742F10" w:rsidRDefault="00742F10" w:rsidP="00742F10">
            <w:pPr>
              <w:ind w:firstLine="0"/>
              <w:jc w:val="center"/>
              <w:rPr>
                <w:shd w:val="clear" w:color="auto" w:fill="auto"/>
              </w:rPr>
            </w:pPr>
            <w:proofErr w:type="spellStart"/>
            <w:r w:rsidRPr="00742F10">
              <w:rPr>
                <w:shd w:val="clear" w:color="auto" w:fill="auto"/>
              </w:rPr>
              <w:t>LADi</w:t>
            </w:r>
            <w:proofErr w:type="spellEnd"/>
          </w:p>
        </w:tc>
      </w:tr>
      <w:tr w:rsidR="00742F10" w:rsidRPr="00742F10" w:rsidTr="00742F10">
        <w:trPr>
          <w:cantSplit/>
          <w:jc w:val="center"/>
        </w:trPr>
        <w:tc>
          <w:tcPr>
            <w:tcW w:w="1701"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NT-</w:t>
            </w:r>
            <w:proofErr w:type="spellStart"/>
            <w:r w:rsidRPr="00742F10">
              <w:rPr>
                <w:shd w:val="clear" w:color="auto" w:fill="auto"/>
              </w:rPr>
              <w:t>proBNP</w:t>
            </w:r>
            <w:proofErr w:type="spellEnd"/>
          </w:p>
        </w:tc>
        <w:tc>
          <w:tcPr>
            <w:tcW w:w="124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r</w:t>
            </w:r>
          </w:p>
        </w:tc>
        <w:tc>
          <w:tcPr>
            <w:tcW w:w="141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0.476</w:t>
            </w:r>
          </w:p>
        </w:tc>
        <w:tc>
          <w:tcPr>
            <w:tcW w:w="141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0.453</w:t>
            </w:r>
          </w:p>
        </w:tc>
        <w:tc>
          <w:tcPr>
            <w:tcW w:w="141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0.476</w:t>
            </w:r>
          </w:p>
        </w:tc>
      </w:tr>
      <w:tr w:rsidR="00742F10" w:rsidRPr="00742F10" w:rsidTr="00742F10">
        <w:trPr>
          <w:cantSplit/>
          <w:jc w:val="center"/>
        </w:trPr>
        <w:tc>
          <w:tcPr>
            <w:tcW w:w="1701"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NT-</w:t>
            </w:r>
            <w:proofErr w:type="spellStart"/>
            <w:r w:rsidRPr="00742F10">
              <w:rPr>
                <w:shd w:val="clear" w:color="auto" w:fill="auto"/>
              </w:rPr>
              <w:t>proBNP</w:t>
            </w:r>
            <w:proofErr w:type="spellEnd"/>
          </w:p>
        </w:tc>
        <w:tc>
          <w:tcPr>
            <w:tcW w:w="124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p</w:t>
            </w:r>
          </w:p>
        </w:tc>
        <w:tc>
          <w:tcPr>
            <w:tcW w:w="141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&lt; 0.001</w:t>
            </w:r>
          </w:p>
        </w:tc>
        <w:tc>
          <w:tcPr>
            <w:tcW w:w="141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&lt; 0.001</w:t>
            </w:r>
          </w:p>
        </w:tc>
        <w:tc>
          <w:tcPr>
            <w:tcW w:w="141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&lt; 0.001</w:t>
            </w:r>
          </w:p>
        </w:tc>
      </w:tr>
      <w:tr w:rsidR="00742F10" w:rsidRPr="00742F10" w:rsidTr="00742F10">
        <w:trPr>
          <w:cantSplit/>
          <w:jc w:val="center"/>
        </w:trPr>
        <w:tc>
          <w:tcPr>
            <w:tcW w:w="1701"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MMP-2</w:t>
            </w:r>
          </w:p>
        </w:tc>
        <w:tc>
          <w:tcPr>
            <w:tcW w:w="124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r</w:t>
            </w:r>
          </w:p>
        </w:tc>
        <w:tc>
          <w:tcPr>
            <w:tcW w:w="141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0.289</w:t>
            </w:r>
          </w:p>
        </w:tc>
        <w:tc>
          <w:tcPr>
            <w:tcW w:w="141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0.204</w:t>
            </w:r>
          </w:p>
        </w:tc>
        <w:tc>
          <w:tcPr>
            <w:tcW w:w="141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0.367</w:t>
            </w:r>
          </w:p>
        </w:tc>
      </w:tr>
      <w:tr w:rsidR="00742F10" w:rsidRPr="00742F10" w:rsidTr="00742F10">
        <w:trPr>
          <w:cantSplit/>
          <w:jc w:val="center"/>
        </w:trPr>
        <w:tc>
          <w:tcPr>
            <w:tcW w:w="1701"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MMP-2</w:t>
            </w:r>
          </w:p>
        </w:tc>
        <w:tc>
          <w:tcPr>
            <w:tcW w:w="124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p</w:t>
            </w:r>
          </w:p>
        </w:tc>
        <w:tc>
          <w:tcPr>
            <w:tcW w:w="141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0.002</w:t>
            </w:r>
          </w:p>
        </w:tc>
        <w:tc>
          <w:tcPr>
            <w:tcW w:w="141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0.058</w:t>
            </w:r>
          </w:p>
        </w:tc>
        <w:tc>
          <w:tcPr>
            <w:tcW w:w="141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&lt; 0.001</w:t>
            </w:r>
          </w:p>
        </w:tc>
      </w:tr>
      <w:tr w:rsidR="00742F10" w:rsidRPr="00742F10" w:rsidTr="00742F10">
        <w:trPr>
          <w:cantSplit/>
          <w:jc w:val="center"/>
        </w:trPr>
        <w:tc>
          <w:tcPr>
            <w:tcW w:w="1701"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OPN</w:t>
            </w:r>
          </w:p>
        </w:tc>
        <w:tc>
          <w:tcPr>
            <w:tcW w:w="124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r</w:t>
            </w:r>
          </w:p>
        </w:tc>
        <w:tc>
          <w:tcPr>
            <w:tcW w:w="141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0.097</w:t>
            </w:r>
          </w:p>
        </w:tc>
        <w:tc>
          <w:tcPr>
            <w:tcW w:w="141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0.223</w:t>
            </w:r>
          </w:p>
        </w:tc>
        <w:tc>
          <w:tcPr>
            <w:tcW w:w="141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0.243</w:t>
            </w:r>
          </w:p>
        </w:tc>
      </w:tr>
      <w:tr w:rsidR="00742F10" w:rsidRPr="00742F10" w:rsidTr="00742F10">
        <w:trPr>
          <w:cantSplit/>
          <w:jc w:val="center"/>
        </w:trPr>
        <w:tc>
          <w:tcPr>
            <w:tcW w:w="1701"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OPN</w:t>
            </w:r>
          </w:p>
        </w:tc>
        <w:tc>
          <w:tcPr>
            <w:tcW w:w="124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p</w:t>
            </w:r>
          </w:p>
        </w:tc>
        <w:tc>
          <w:tcPr>
            <w:tcW w:w="141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0.313</w:t>
            </w:r>
          </w:p>
        </w:tc>
        <w:tc>
          <w:tcPr>
            <w:tcW w:w="141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0.038</w:t>
            </w:r>
          </w:p>
        </w:tc>
        <w:tc>
          <w:tcPr>
            <w:tcW w:w="141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0.010</w:t>
            </w:r>
          </w:p>
        </w:tc>
      </w:tr>
    </w:tbl>
    <w:p w:rsidR="00742F10" w:rsidRPr="00742F10" w:rsidRDefault="00742F10" w:rsidP="00742F10">
      <w:pPr>
        <w:spacing w:after="80"/>
        <w:ind w:firstLine="425"/>
        <w:rPr>
          <w:rFonts w:eastAsia="Times New Roman"/>
          <w:shd w:val="clear" w:color="auto" w:fill="auto"/>
        </w:rPr>
      </w:pPr>
      <w:r w:rsidRPr="00742F10">
        <w:rPr>
          <w:rFonts w:eastAsia="Times New Roman"/>
          <w:b/>
          <w:shd w:val="clear" w:color="auto" w:fill="auto"/>
        </w:rPr>
        <w:lastRenderedPageBreak/>
        <w:t xml:space="preserve">Interpretation: </w:t>
      </w:r>
      <w:r w:rsidRPr="00742F10">
        <w:rPr>
          <w:rFonts w:eastAsia="Times New Roman"/>
          <w:shd w:val="clear" w:color="auto" w:fill="auto"/>
        </w:rPr>
        <w:t>NT-</w:t>
      </w:r>
      <w:proofErr w:type="spellStart"/>
      <w:r w:rsidRPr="00742F10">
        <w:rPr>
          <w:rFonts w:eastAsia="Times New Roman"/>
          <w:shd w:val="clear" w:color="auto" w:fill="auto"/>
        </w:rPr>
        <w:t>proBNP</w:t>
      </w:r>
      <w:proofErr w:type="spellEnd"/>
      <w:r w:rsidRPr="00742F10">
        <w:rPr>
          <w:rFonts w:eastAsia="Times New Roman"/>
          <w:shd w:val="clear" w:color="auto" w:fill="auto"/>
        </w:rPr>
        <w:t xml:space="preserve"> showed a moderate positive correlation with left atrial dimensions; MMP-2 and OPN showed weak positive correlations, with statistical significance mainly for </w:t>
      </w:r>
      <w:proofErr w:type="spellStart"/>
      <w:r w:rsidRPr="00742F10">
        <w:rPr>
          <w:rFonts w:eastAsia="Times New Roman"/>
          <w:shd w:val="clear" w:color="auto" w:fill="auto"/>
        </w:rPr>
        <w:t>LADi</w:t>
      </w:r>
      <w:proofErr w:type="spellEnd"/>
      <w:r w:rsidRPr="00742F10">
        <w:rPr>
          <w:rFonts w:eastAsia="Times New Roman"/>
          <w:shd w:val="clear" w:color="auto" w:fill="auto"/>
        </w:rPr>
        <w:t>.</w:t>
      </w:r>
    </w:p>
    <w:p w:rsidR="00742F10" w:rsidRPr="00742F10" w:rsidRDefault="00742F10" w:rsidP="00742F10">
      <w:pPr>
        <w:keepNext/>
        <w:spacing w:before="120" w:after="80"/>
        <w:ind w:firstLine="0"/>
        <w:jc w:val="center"/>
        <w:rPr>
          <w:rFonts w:eastAsia="Times New Roman"/>
          <w:shd w:val="clear" w:color="auto" w:fill="auto"/>
        </w:rPr>
      </w:pPr>
      <w:r w:rsidRPr="00742F10">
        <w:rPr>
          <w:rFonts w:eastAsia="Times New Roman"/>
          <w:shd w:val="clear" w:color="auto" w:fill="auto"/>
        </w:rPr>
        <w:t>Table 3.33. Outcomes of RFA for atrial fibrillation after 3 months</w:t>
      </w:r>
    </w:p>
    <w:tbl>
      <w:tblPr>
        <w:tblStyle w:val="TableGrid2"/>
        <w:tblW w:w="0" w:type="auto"/>
        <w:jc w:val="center"/>
        <w:shd w:val="clear" w:color="auto" w:fill="FFFFFF" w:themeFill="background1"/>
        <w:tblLook w:val="04A0" w:firstRow="1" w:lastRow="0" w:firstColumn="1" w:lastColumn="0" w:noHBand="0" w:noVBand="1"/>
      </w:tblPr>
      <w:tblGrid>
        <w:gridCol w:w="1608"/>
        <w:gridCol w:w="979"/>
        <w:gridCol w:w="1004"/>
        <w:gridCol w:w="1263"/>
        <w:gridCol w:w="1288"/>
      </w:tblGrid>
      <w:tr w:rsidR="00742F10" w:rsidRPr="00742F10" w:rsidTr="00742F10">
        <w:trPr>
          <w:tblHeader/>
          <w:jc w:val="center"/>
        </w:trPr>
        <w:tc>
          <w:tcPr>
            <w:tcW w:w="2835"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Group</w:t>
            </w:r>
          </w:p>
        </w:tc>
        <w:tc>
          <w:tcPr>
            <w:tcW w:w="141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Sinus rhythm n</w:t>
            </w:r>
          </w:p>
        </w:tc>
        <w:tc>
          <w:tcPr>
            <w:tcW w:w="1530"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Sinus rhythm %</w:t>
            </w:r>
          </w:p>
        </w:tc>
        <w:tc>
          <w:tcPr>
            <w:tcW w:w="141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Recurrence n</w:t>
            </w:r>
          </w:p>
        </w:tc>
        <w:tc>
          <w:tcPr>
            <w:tcW w:w="1530"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Recurrence %</w:t>
            </w:r>
          </w:p>
        </w:tc>
      </w:tr>
      <w:tr w:rsidR="00742F10" w:rsidRPr="00742F10" w:rsidTr="00742F10">
        <w:trPr>
          <w:cantSplit/>
          <w:jc w:val="center"/>
        </w:trPr>
        <w:tc>
          <w:tcPr>
            <w:tcW w:w="2835" w:type="dxa"/>
            <w:shd w:val="clear" w:color="auto" w:fill="FFFFFF" w:themeFill="background1"/>
            <w:vAlign w:val="center"/>
          </w:tcPr>
          <w:p w:rsidR="00742F10" w:rsidRPr="00742F10" w:rsidRDefault="00742F10" w:rsidP="00742F10">
            <w:pPr>
              <w:ind w:firstLine="0"/>
              <w:jc w:val="left"/>
              <w:rPr>
                <w:shd w:val="clear" w:color="auto" w:fill="auto"/>
              </w:rPr>
            </w:pPr>
            <w:r w:rsidRPr="00742F10">
              <w:rPr>
                <w:shd w:val="clear" w:color="auto" w:fill="auto"/>
              </w:rPr>
              <w:t>Paroxysmal AF (n = 38)</w:t>
            </w:r>
          </w:p>
        </w:tc>
        <w:tc>
          <w:tcPr>
            <w:tcW w:w="141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34</w:t>
            </w:r>
          </w:p>
        </w:tc>
        <w:tc>
          <w:tcPr>
            <w:tcW w:w="1530"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89.47</w:t>
            </w:r>
          </w:p>
        </w:tc>
        <w:tc>
          <w:tcPr>
            <w:tcW w:w="141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4</w:t>
            </w:r>
          </w:p>
        </w:tc>
        <w:tc>
          <w:tcPr>
            <w:tcW w:w="1530"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10.53</w:t>
            </w:r>
          </w:p>
        </w:tc>
      </w:tr>
      <w:tr w:rsidR="00742F10" w:rsidRPr="00742F10" w:rsidTr="00742F10">
        <w:trPr>
          <w:cantSplit/>
          <w:jc w:val="center"/>
        </w:trPr>
        <w:tc>
          <w:tcPr>
            <w:tcW w:w="2835" w:type="dxa"/>
            <w:shd w:val="clear" w:color="auto" w:fill="FFFFFF" w:themeFill="background1"/>
            <w:vAlign w:val="center"/>
          </w:tcPr>
          <w:p w:rsidR="00742F10" w:rsidRPr="00742F10" w:rsidRDefault="00742F10" w:rsidP="00742F10">
            <w:pPr>
              <w:ind w:firstLine="0"/>
              <w:jc w:val="left"/>
              <w:rPr>
                <w:shd w:val="clear" w:color="auto" w:fill="auto"/>
              </w:rPr>
            </w:pPr>
            <w:r w:rsidRPr="00742F10">
              <w:rPr>
                <w:shd w:val="clear" w:color="auto" w:fill="auto"/>
              </w:rPr>
              <w:t>Persistent AF (n = 16)</w:t>
            </w:r>
          </w:p>
        </w:tc>
        <w:tc>
          <w:tcPr>
            <w:tcW w:w="141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8</w:t>
            </w:r>
          </w:p>
        </w:tc>
        <w:tc>
          <w:tcPr>
            <w:tcW w:w="1530"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50.00</w:t>
            </w:r>
          </w:p>
        </w:tc>
        <w:tc>
          <w:tcPr>
            <w:tcW w:w="141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8</w:t>
            </w:r>
          </w:p>
        </w:tc>
        <w:tc>
          <w:tcPr>
            <w:tcW w:w="1530"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50.00</w:t>
            </w:r>
          </w:p>
        </w:tc>
      </w:tr>
      <w:tr w:rsidR="00742F10" w:rsidRPr="00742F10" w:rsidTr="00742F10">
        <w:trPr>
          <w:cantSplit/>
          <w:jc w:val="center"/>
        </w:trPr>
        <w:tc>
          <w:tcPr>
            <w:tcW w:w="2835" w:type="dxa"/>
            <w:shd w:val="clear" w:color="auto" w:fill="FFFFFF" w:themeFill="background1"/>
            <w:vAlign w:val="center"/>
          </w:tcPr>
          <w:p w:rsidR="00742F10" w:rsidRPr="00742F10" w:rsidRDefault="00742F10" w:rsidP="00742F10">
            <w:pPr>
              <w:ind w:firstLine="0"/>
              <w:jc w:val="left"/>
              <w:rPr>
                <w:shd w:val="clear" w:color="auto" w:fill="auto"/>
              </w:rPr>
            </w:pPr>
            <w:r w:rsidRPr="00742F10">
              <w:rPr>
                <w:shd w:val="clear" w:color="auto" w:fill="auto"/>
              </w:rPr>
              <w:t>Overall (n = 54)</w:t>
            </w:r>
          </w:p>
        </w:tc>
        <w:tc>
          <w:tcPr>
            <w:tcW w:w="141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42</w:t>
            </w:r>
          </w:p>
        </w:tc>
        <w:tc>
          <w:tcPr>
            <w:tcW w:w="1530"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77.78</w:t>
            </w:r>
          </w:p>
        </w:tc>
        <w:tc>
          <w:tcPr>
            <w:tcW w:w="141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12</w:t>
            </w:r>
          </w:p>
        </w:tc>
        <w:tc>
          <w:tcPr>
            <w:tcW w:w="1530"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22.22</w:t>
            </w:r>
          </w:p>
        </w:tc>
      </w:tr>
    </w:tbl>
    <w:p w:rsidR="00742F10" w:rsidRPr="00742F10" w:rsidRDefault="00742F10" w:rsidP="00742F10">
      <w:pPr>
        <w:spacing w:after="80"/>
        <w:ind w:firstLine="425"/>
        <w:rPr>
          <w:rFonts w:eastAsia="Times New Roman"/>
          <w:shd w:val="clear" w:color="auto" w:fill="auto"/>
        </w:rPr>
      </w:pPr>
      <w:r w:rsidRPr="00742F10">
        <w:rPr>
          <w:rFonts w:eastAsia="Times New Roman"/>
          <w:b/>
          <w:shd w:val="clear" w:color="auto" w:fill="auto"/>
        </w:rPr>
        <w:t xml:space="preserve">Interpretation: </w:t>
      </w:r>
      <w:r w:rsidRPr="00742F10">
        <w:rPr>
          <w:rFonts w:eastAsia="Times New Roman"/>
          <w:shd w:val="clear" w:color="auto" w:fill="auto"/>
        </w:rPr>
        <w:t>After 3 months, the overall sinus rhythm maintenance rate was 77.78%; it was 89.47% in the paroxysmal AF group and 50.00% in the persistent AF group.</w:t>
      </w:r>
    </w:p>
    <w:p w:rsidR="00742F10" w:rsidRPr="00742F10" w:rsidRDefault="00742F10" w:rsidP="00742F10">
      <w:pPr>
        <w:keepNext/>
        <w:spacing w:before="120" w:after="80"/>
        <w:ind w:firstLine="0"/>
        <w:jc w:val="center"/>
        <w:rPr>
          <w:rFonts w:eastAsia="Times New Roman"/>
          <w:shd w:val="clear" w:color="auto" w:fill="auto"/>
        </w:rPr>
      </w:pPr>
      <w:r w:rsidRPr="00742F10">
        <w:rPr>
          <w:rFonts w:eastAsia="Times New Roman"/>
          <w:shd w:val="clear" w:color="auto" w:fill="auto"/>
        </w:rPr>
        <w:t>Table 3.34. Outcomes of RFA for atrial fibrillation after 6 months</w:t>
      </w:r>
    </w:p>
    <w:tbl>
      <w:tblPr>
        <w:tblStyle w:val="TableGrid2"/>
        <w:tblW w:w="0" w:type="auto"/>
        <w:jc w:val="center"/>
        <w:shd w:val="clear" w:color="auto" w:fill="FFFFFF" w:themeFill="background1"/>
        <w:tblLook w:val="04A0" w:firstRow="1" w:lastRow="0" w:firstColumn="1" w:lastColumn="0" w:noHBand="0" w:noVBand="1"/>
      </w:tblPr>
      <w:tblGrid>
        <w:gridCol w:w="1608"/>
        <w:gridCol w:w="979"/>
        <w:gridCol w:w="1004"/>
        <w:gridCol w:w="1263"/>
        <w:gridCol w:w="1288"/>
      </w:tblGrid>
      <w:tr w:rsidR="00742F10" w:rsidRPr="00742F10" w:rsidTr="00742F10">
        <w:trPr>
          <w:tblHeader/>
          <w:jc w:val="center"/>
        </w:trPr>
        <w:tc>
          <w:tcPr>
            <w:tcW w:w="2835"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Group</w:t>
            </w:r>
          </w:p>
        </w:tc>
        <w:tc>
          <w:tcPr>
            <w:tcW w:w="141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Sinus rhythm n</w:t>
            </w:r>
          </w:p>
        </w:tc>
        <w:tc>
          <w:tcPr>
            <w:tcW w:w="1530"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Sinus rhythm %</w:t>
            </w:r>
          </w:p>
        </w:tc>
        <w:tc>
          <w:tcPr>
            <w:tcW w:w="141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Recurrence n</w:t>
            </w:r>
          </w:p>
        </w:tc>
        <w:tc>
          <w:tcPr>
            <w:tcW w:w="1530"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Recurrence %</w:t>
            </w:r>
          </w:p>
        </w:tc>
      </w:tr>
      <w:tr w:rsidR="00742F10" w:rsidRPr="00742F10" w:rsidTr="00742F10">
        <w:trPr>
          <w:cantSplit/>
          <w:jc w:val="center"/>
        </w:trPr>
        <w:tc>
          <w:tcPr>
            <w:tcW w:w="2835" w:type="dxa"/>
            <w:shd w:val="clear" w:color="auto" w:fill="FFFFFF" w:themeFill="background1"/>
            <w:vAlign w:val="center"/>
          </w:tcPr>
          <w:p w:rsidR="00742F10" w:rsidRPr="00742F10" w:rsidRDefault="00742F10" w:rsidP="00742F10">
            <w:pPr>
              <w:ind w:firstLine="0"/>
              <w:jc w:val="left"/>
              <w:rPr>
                <w:shd w:val="clear" w:color="auto" w:fill="auto"/>
              </w:rPr>
            </w:pPr>
            <w:r w:rsidRPr="00742F10">
              <w:rPr>
                <w:shd w:val="clear" w:color="auto" w:fill="auto"/>
              </w:rPr>
              <w:t>Paroxysmal AF (n = 38)</w:t>
            </w:r>
          </w:p>
        </w:tc>
        <w:tc>
          <w:tcPr>
            <w:tcW w:w="141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34</w:t>
            </w:r>
          </w:p>
        </w:tc>
        <w:tc>
          <w:tcPr>
            <w:tcW w:w="1530"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89.47</w:t>
            </w:r>
          </w:p>
        </w:tc>
        <w:tc>
          <w:tcPr>
            <w:tcW w:w="141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4</w:t>
            </w:r>
          </w:p>
        </w:tc>
        <w:tc>
          <w:tcPr>
            <w:tcW w:w="1530"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10.53</w:t>
            </w:r>
          </w:p>
        </w:tc>
      </w:tr>
      <w:tr w:rsidR="00742F10" w:rsidRPr="00742F10" w:rsidTr="00742F10">
        <w:trPr>
          <w:cantSplit/>
          <w:jc w:val="center"/>
        </w:trPr>
        <w:tc>
          <w:tcPr>
            <w:tcW w:w="2835" w:type="dxa"/>
            <w:shd w:val="clear" w:color="auto" w:fill="FFFFFF" w:themeFill="background1"/>
            <w:vAlign w:val="center"/>
          </w:tcPr>
          <w:p w:rsidR="00742F10" w:rsidRPr="00742F10" w:rsidRDefault="00742F10" w:rsidP="00742F10">
            <w:pPr>
              <w:ind w:firstLine="0"/>
              <w:jc w:val="left"/>
              <w:rPr>
                <w:shd w:val="clear" w:color="auto" w:fill="auto"/>
              </w:rPr>
            </w:pPr>
            <w:r w:rsidRPr="00742F10">
              <w:rPr>
                <w:shd w:val="clear" w:color="auto" w:fill="auto"/>
              </w:rPr>
              <w:t>Persistent AF (n = 16)</w:t>
            </w:r>
          </w:p>
        </w:tc>
        <w:tc>
          <w:tcPr>
            <w:tcW w:w="141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7</w:t>
            </w:r>
          </w:p>
        </w:tc>
        <w:tc>
          <w:tcPr>
            <w:tcW w:w="1530"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43.75</w:t>
            </w:r>
          </w:p>
        </w:tc>
        <w:tc>
          <w:tcPr>
            <w:tcW w:w="141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9</w:t>
            </w:r>
          </w:p>
        </w:tc>
        <w:tc>
          <w:tcPr>
            <w:tcW w:w="1530"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56.25</w:t>
            </w:r>
          </w:p>
        </w:tc>
      </w:tr>
      <w:tr w:rsidR="00742F10" w:rsidRPr="00742F10" w:rsidTr="00742F10">
        <w:trPr>
          <w:cantSplit/>
          <w:jc w:val="center"/>
        </w:trPr>
        <w:tc>
          <w:tcPr>
            <w:tcW w:w="2835" w:type="dxa"/>
            <w:shd w:val="clear" w:color="auto" w:fill="FFFFFF" w:themeFill="background1"/>
            <w:vAlign w:val="center"/>
          </w:tcPr>
          <w:p w:rsidR="00742F10" w:rsidRPr="00742F10" w:rsidRDefault="00742F10" w:rsidP="00742F10">
            <w:pPr>
              <w:ind w:firstLine="0"/>
              <w:jc w:val="left"/>
              <w:rPr>
                <w:shd w:val="clear" w:color="auto" w:fill="auto"/>
              </w:rPr>
            </w:pPr>
            <w:r w:rsidRPr="00742F10">
              <w:rPr>
                <w:shd w:val="clear" w:color="auto" w:fill="auto"/>
              </w:rPr>
              <w:t>Overall (n = 54)</w:t>
            </w:r>
          </w:p>
        </w:tc>
        <w:tc>
          <w:tcPr>
            <w:tcW w:w="141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41</w:t>
            </w:r>
          </w:p>
        </w:tc>
        <w:tc>
          <w:tcPr>
            <w:tcW w:w="1530"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75.93</w:t>
            </w:r>
          </w:p>
        </w:tc>
        <w:tc>
          <w:tcPr>
            <w:tcW w:w="141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13</w:t>
            </w:r>
          </w:p>
        </w:tc>
        <w:tc>
          <w:tcPr>
            <w:tcW w:w="1530"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24.07</w:t>
            </w:r>
          </w:p>
        </w:tc>
      </w:tr>
    </w:tbl>
    <w:p w:rsidR="00742F10" w:rsidRPr="00742F10" w:rsidRDefault="00742F10" w:rsidP="00742F10">
      <w:pPr>
        <w:spacing w:after="80"/>
        <w:ind w:firstLine="425"/>
        <w:rPr>
          <w:rFonts w:eastAsia="Times New Roman"/>
          <w:shd w:val="clear" w:color="auto" w:fill="auto"/>
        </w:rPr>
      </w:pPr>
      <w:r w:rsidRPr="00742F10">
        <w:rPr>
          <w:rFonts w:eastAsia="Times New Roman"/>
          <w:b/>
          <w:shd w:val="clear" w:color="auto" w:fill="auto"/>
        </w:rPr>
        <w:t xml:space="preserve">Interpretation: </w:t>
      </w:r>
      <w:r w:rsidRPr="00742F10">
        <w:rPr>
          <w:rFonts w:eastAsia="Times New Roman"/>
          <w:shd w:val="clear" w:color="auto" w:fill="auto"/>
        </w:rPr>
        <w:t>After 6 months, the overall sinus rhythm maintenance rate was 75.93%; it was 89.47% in the paroxysmal AF group and 43.75% in the persistent AF group.</w:t>
      </w:r>
    </w:p>
    <w:p w:rsidR="00742F10" w:rsidRPr="00742F10" w:rsidRDefault="00742F10" w:rsidP="00742F10">
      <w:pPr>
        <w:keepNext/>
        <w:spacing w:before="120" w:after="80"/>
        <w:ind w:firstLine="0"/>
        <w:jc w:val="center"/>
        <w:rPr>
          <w:rFonts w:eastAsia="Times New Roman"/>
          <w:shd w:val="clear" w:color="auto" w:fill="auto"/>
        </w:rPr>
      </w:pPr>
      <w:r w:rsidRPr="00742F10">
        <w:rPr>
          <w:rFonts w:eastAsia="Times New Roman"/>
          <w:shd w:val="clear" w:color="auto" w:fill="auto"/>
        </w:rPr>
        <w:lastRenderedPageBreak/>
        <w:t>Table 3.40. Prognostic significance of factors for recurrence after 6 months</w:t>
      </w:r>
    </w:p>
    <w:tbl>
      <w:tblPr>
        <w:tblStyle w:val="TableGrid2"/>
        <w:tblW w:w="0" w:type="auto"/>
        <w:jc w:val="center"/>
        <w:shd w:val="clear" w:color="auto" w:fill="FFFFFF" w:themeFill="background1"/>
        <w:tblLook w:val="04A0" w:firstRow="1" w:lastRow="0" w:firstColumn="1" w:lastColumn="0" w:noHBand="0" w:noVBand="1"/>
      </w:tblPr>
      <w:tblGrid>
        <w:gridCol w:w="1009"/>
        <w:gridCol w:w="868"/>
        <w:gridCol w:w="1075"/>
        <w:gridCol w:w="786"/>
        <w:gridCol w:w="786"/>
        <w:gridCol w:w="904"/>
        <w:gridCol w:w="714"/>
      </w:tblGrid>
      <w:tr w:rsidR="00742F10" w:rsidRPr="00742F10" w:rsidTr="00742F10">
        <w:trPr>
          <w:tblHeader/>
          <w:jc w:val="center"/>
        </w:trPr>
        <w:tc>
          <w:tcPr>
            <w:tcW w:w="1474"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Factor</w:t>
            </w:r>
          </w:p>
        </w:tc>
        <w:tc>
          <w:tcPr>
            <w:tcW w:w="1701"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AUC (95% CI)</w:t>
            </w:r>
          </w:p>
        </w:tc>
        <w:tc>
          <w:tcPr>
            <w:tcW w:w="1360"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Cut-off</w:t>
            </w:r>
          </w:p>
        </w:tc>
        <w:tc>
          <w:tcPr>
            <w:tcW w:w="90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Se</w:t>
            </w:r>
          </w:p>
        </w:tc>
        <w:tc>
          <w:tcPr>
            <w:tcW w:w="907" w:type="dxa"/>
            <w:shd w:val="clear" w:color="auto" w:fill="FFFFFF" w:themeFill="background1"/>
            <w:vAlign w:val="center"/>
          </w:tcPr>
          <w:p w:rsidR="00742F10" w:rsidRPr="00742F10" w:rsidRDefault="00742F10" w:rsidP="00742F10">
            <w:pPr>
              <w:ind w:firstLine="0"/>
              <w:jc w:val="center"/>
              <w:rPr>
                <w:shd w:val="clear" w:color="auto" w:fill="auto"/>
              </w:rPr>
            </w:pPr>
            <w:proofErr w:type="spellStart"/>
            <w:r w:rsidRPr="00742F10">
              <w:rPr>
                <w:shd w:val="clear" w:color="auto" w:fill="auto"/>
              </w:rPr>
              <w:t>Sp</w:t>
            </w:r>
            <w:proofErr w:type="spellEnd"/>
          </w:p>
        </w:tc>
        <w:tc>
          <w:tcPr>
            <w:tcW w:w="1701"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OR (cut-off)</w:t>
            </w:r>
          </w:p>
        </w:tc>
        <w:tc>
          <w:tcPr>
            <w:tcW w:w="1020"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p</w:t>
            </w:r>
          </w:p>
        </w:tc>
      </w:tr>
      <w:tr w:rsidR="00742F10" w:rsidRPr="00742F10" w:rsidTr="00742F10">
        <w:trPr>
          <w:cantSplit/>
          <w:jc w:val="center"/>
        </w:trPr>
        <w:tc>
          <w:tcPr>
            <w:tcW w:w="1474"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AF type</w:t>
            </w:r>
          </w:p>
        </w:tc>
        <w:tc>
          <w:tcPr>
            <w:tcW w:w="1701" w:type="dxa"/>
            <w:shd w:val="clear" w:color="auto" w:fill="FFFFFF" w:themeFill="background1"/>
            <w:vAlign w:val="center"/>
          </w:tcPr>
          <w:p w:rsidR="00742F10" w:rsidRPr="00742F10" w:rsidRDefault="00742F10" w:rsidP="00742F10">
            <w:pPr>
              <w:ind w:firstLine="0"/>
              <w:jc w:val="left"/>
              <w:rPr>
                <w:shd w:val="clear" w:color="auto" w:fill="auto"/>
              </w:rPr>
            </w:pPr>
            <w:r w:rsidRPr="00742F10">
              <w:rPr>
                <w:shd w:val="clear" w:color="auto" w:fill="auto"/>
              </w:rPr>
              <w:t>0.750</w:t>
            </w:r>
            <w:r w:rsidRPr="00742F10">
              <w:rPr>
                <w:shd w:val="clear" w:color="auto" w:fill="auto"/>
              </w:rPr>
              <w:br/>
              <w:t>(0.588-0.893)</w:t>
            </w:r>
          </w:p>
        </w:tc>
        <w:tc>
          <w:tcPr>
            <w:tcW w:w="1360"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Persistent AF</w:t>
            </w:r>
          </w:p>
        </w:tc>
        <w:tc>
          <w:tcPr>
            <w:tcW w:w="90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66.7%</w:t>
            </w:r>
          </w:p>
        </w:tc>
        <w:tc>
          <w:tcPr>
            <w:tcW w:w="90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83.3%</w:t>
            </w:r>
          </w:p>
        </w:tc>
        <w:tc>
          <w:tcPr>
            <w:tcW w:w="1701"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10.00</w:t>
            </w:r>
            <w:r w:rsidRPr="00742F10">
              <w:rPr>
                <w:shd w:val="clear" w:color="auto" w:fill="auto"/>
              </w:rPr>
              <w:br/>
              <w:t>(2.35-42.58)</w:t>
            </w:r>
          </w:p>
        </w:tc>
        <w:tc>
          <w:tcPr>
            <w:tcW w:w="1020"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0.002</w:t>
            </w:r>
          </w:p>
        </w:tc>
      </w:tr>
      <w:tr w:rsidR="00742F10" w:rsidRPr="00742F10" w:rsidTr="00742F10">
        <w:trPr>
          <w:cantSplit/>
          <w:jc w:val="center"/>
        </w:trPr>
        <w:tc>
          <w:tcPr>
            <w:tcW w:w="1474"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LAD (mm)</w:t>
            </w:r>
          </w:p>
        </w:tc>
        <w:tc>
          <w:tcPr>
            <w:tcW w:w="1701" w:type="dxa"/>
            <w:shd w:val="clear" w:color="auto" w:fill="FFFFFF" w:themeFill="background1"/>
            <w:vAlign w:val="center"/>
          </w:tcPr>
          <w:p w:rsidR="00742F10" w:rsidRPr="00742F10" w:rsidRDefault="00742F10" w:rsidP="00742F10">
            <w:pPr>
              <w:ind w:firstLine="0"/>
              <w:jc w:val="left"/>
              <w:rPr>
                <w:shd w:val="clear" w:color="auto" w:fill="auto"/>
              </w:rPr>
            </w:pPr>
            <w:r w:rsidRPr="00742F10">
              <w:rPr>
                <w:shd w:val="clear" w:color="auto" w:fill="auto"/>
              </w:rPr>
              <w:t>0.793</w:t>
            </w:r>
            <w:r w:rsidRPr="00742F10">
              <w:rPr>
                <w:shd w:val="clear" w:color="auto" w:fill="auto"/>
              </w:rPr>
              <w:br/>
              <w:t>(0.629-0.925)</w:t>
            </w:r>
          </w:p>
        </w:tc>
        <w:tc>
          <w:tcPr>
            <w:tcW w:w="1360"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 38.5</w:t>
            </w:r>
          </w:p>
        </w:tc>
        <w:tc>
          <w:tcPr>
            <w:tcW w:w="90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75.0%</w:t>
            </w:r>
          </w:p>
        </w:tc>
        <w:tc>
          <w:tcPr>
            <w:tcW w:w="90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76.2%</w:t>
            </w:r>
          </w:p>
        </w:tc>
        <w:tc>
          <w:tcPr>
            <w:tcW w:w="1701"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9.60</w:t>
            </w:r>
            <w:r w:rsidRPr="00742F10">
              <w:rPr>
                <w:shd w:val="clear" w:color="auto" w:fill="auto"/>
              </w:rPr>
              <w:br/>
              <w:t>(2.17-42.47)</w:t>
            </w:r>
          </w:p>
        </w:tc>
        <w:tc>
          <w:tcPr>
            <w:tcW w:w="1020"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0.002</w:t>
            </w:r>
          </w:p>
        </w:tc>
      </w:tr>
      <w:tr w:rsidR="00742F10" w:rsidRPr="00742F10" w:rsidTr="00742F10">
        <w:trPr>
          <w:cantSplit/>
          <w:jc w:val="center"/>
        </w:trPr>
        <w:tc>
          <w:tcPr>
            <w:tcW w:w="1474" w:type="dxa"/>
            <w:shd w:val="clear" w:color="auto" w:fill="FFFFFF" w:themeFill="background1"/>
            <w:vAlign w:val="center"/>
          </w:tcPr>
          <w:p w:rsidR="00742F10" w:rsidRPr="00742F10" w:rsidRDefault="00742F10" w:rsidP="00742F10">
            <w:pPr>
              <w:ind w:firstLine="0"/>
              <w:jc w:val="center"/>
              <w:rPr>
                <w:shd w:val="clear" w:color="auto" w:fill="auto"/>
              </w:rPr>
            </w:pPr>
            <w:proofErr w:type="spellStart"/>
            <w:r w:rsidRPr="00742F10">
              <w:rPr>
                <w:shd w:val="clear" w:color="auto" w:fill="auto"/>
              </w:rPr>
              <w:t>LADi</w:t>
            </w:r>
            <w:proofErr w:type="spellEnd"/>
            <w:r w:rsidRPr="00742F10">
              <w:rPr>
                <w:shd w:val="clear" w:color="auto" w:fill="auto"/>
              </w:rPr>
              <w:br/>
              <w:t>(mm/m²)</w:t>
            </w:r>
          </w:p>
        </w:tc>
        <w:tc>
          <w:tcPr>
            <w:tcW w:w="1701" w:type="dxa"/>
            <w:shd w:val="clear" w:color="auto" w:fill="FFFFFF" w:themeFill="background1"/>
            <w:vAlign w:val="center"/>
          </w:tcPr>
          <w:p w:rsidR="00742F10" w:rsidRPr="00742F10" w:rsidRDefault="00742F10" w:rsidP="00742F10">
            <w:pPr>
              <w:ind w:firstLine="0"/>
              <w:jc w:val="left"/>
              <w:rPr>
                <w:shd w:val="clear" w:color="auto" w:fill="auto"/>
              </w:rPr>
            </w:pPr>
            <w:r w:rsidRPr="00742F10">
              <w:rPr>
                <w:shd w:val="clear" w:color="auto" w:fill="auto"/>
              </w:rPr>
              <w:t>0.810</w:t>
            </w:r>
            <w:r w:rsidRPr="00742F10">
              <w:rPr>
                <w:shd w:val="clear" w:color="auto" w:fill="auto"/>
              </w:rPr>
              <w:br/>
              <w:t>(0.651-0.941)</w:t>
            </w:r>
          </w:p>
        </w:tc>
        <w:tc>
          <w:tcPr>
            <w:tcW w:w="1360"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 23.5</w:t>
            </w:r>
          </w:p>
        </w:tc>
        <w:tc>
          <w:tcPr>
            <w:tcW w:w="90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75.0%</w:t>
            </w:r>
          </w:p>
        </w:tc>
        <w:tc>
          <w:tcPr>
            <w:tcW w:w="90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85.7%</w:t>
            </w:r>
          </w:p>
        </w:tc>
        <w:tc>
          <w:tcPr>
            <w:tcW w:w="1701"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18.00</w:t>
            </w:r>
            <w:r w:rsidRPr="00742F10">
              <w:rPr>
                <w:shd w:val="clear" w:color="auto" w:fill="auto"/>
              </w:rPr>
              <w:br/>
              <w:t>(3.76-86.23)</w:t>
            </w:r>
          </w:p>
        </w:tc>
        <w:tc>
          <w:tcPr>
            <w:tcW w:w="1020"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&lt; 0.001</w:t>
            </w:r>
          </w:p>
        </w:tc>
      </w:tr>
      <w:tr w:rsidR="00742F10" w:rsidRPr="00742F10" w:rsidTr="00742F10">
        <w:trPr>
          <w:cantSplit/>
          <w:jc w:val="center"/>
        </w:trPr>
        <w:tc>
          <w:tcPr>
            <w:tcW w:w="1474"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MMP-2</w:t>
            </w:r>
            <w:r w:rsidRPr="00742F10">
              <w:rPr>
                <w:shd w:val="clear" w:color="auto" w:fill="auto"/>
              </w:rPr>
              <w:br/>
              <w:t>(ng/mL)</w:t>
            </w:r>
          </w:p>
        </w:tc>
        <w:tc>
          <w:tcPr>
            <w:tcW w:w="1701" w:type="dxa"/>
            <w:shd w:val="clear" w:color="auto" w:fill="FFFFFF" w:themeFill="background1"/>
            <w:vAlign w:val="center"/>
          </w:tcPr>
          <w:p w:rsidR="00742F10" w:rsidRPr="00742F10" w:rsidRDefault="00742F10" w:rsidP="00742F10">
            <w:pPr>
              <w:ind w:firstLine="0"/>
              <w:jc w:val="left"/>
              <w:rPr>
                <w:shd w:val="clear" w:color="auto" w:fill="auto"/>
              </w:rPr>
            </w:pPr>
            <w:r w:rsidRPr="00742F10">
              <w:rPr>
                <w:shd w:val="clear" w:color="auto" w:fill="auto"/>
              </w:rPr>
              <w:t>0.567</w:t>
            </w:r>
            <w:r w:rsidRPr="00742F10">
              <w:rPr>
                <w:shd w:val="clear" w:color="auto" w:fill="auto"/>
              </w:rPr>
              <w:br/>
              <w:t>(0.356-0.776)</w:t>
            </w:r>
          </w:p>
        </w:tc>
        <w:tc>
          <w:tcPr>
            <w:tcW w:w="1360"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 168</w:t>
            </w:r>
          </w:p>
        </w:tc>
        <w:tc>
          <w:tcPr>
            <w:tcW w:w="90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50.0%</w:t>
            </w:r>
          </w:p>
        </w:tc>
        <w:tc>
          <w:tcPr>
            <w:tcW w:w="90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78.6%</w:t>
            </w:r>
          </w:p>
        </w:tc>
        <w:tc>
          <w:tcPr>
            <w:tcW w:w="1701"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3.67</w:t>
            </w:r>
            <w:r w:rsidRPr="00742F10">
              <w:rPr>
                <w:shd w:val="clear" w:color="auto" w:fill="auto"/>
              </w:rPr>
              <w:br/>
              <w:t>(0.95-14.15)</w:t>
            </w:r>
          </w:p>
        </w:tc>
        <w:tc>
          <w:tcPr>
            <w:tcW w:w="1020"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0.071</w:t>
            </w:r>
          </w:p>
        </w:tc>
      </w:tr>
      <w:tr w:rsidR="00742F10" w:rsidRPr="00742F10" w:rsidTr="00742F10">
        <w:trPr>
          <w:cantSplit/>
          <w:jc w:val="center"/>
        </w:trPr>
        <w:tc>
          <w:tcPr>
            <w:tcW w:w="1474"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OPN</w:t>
            </w:r>
            <w:r w:rsidRPr="00742F10">
              <w:rPr>
                <w:shd w:val="clear" w:color="auto" w:fill="auto"/>
              </w:rPr>
              <w:br/>
              <w:t>(ng/mL)</w:t>
            </w:r>
          </w:p>
        </w:tc>
        <w:tc>
          <w:tcPr>
            <w:tcW w:w="1701" w:type="dxa"/>
            <w:shd w:val="clear" w:color="auto" w:fill="FFFFFF" w:themeFill="background1"/>
            <w:vAlign w:val="center"/>
          </w:tcPr>
          <w:p w:rsidR="00742F10" w:rsidRPr="00742F10" w:rsidRDefault="00742F10" w:rsidP="00742F10">
            <w:pPr>
              <w:ind w:firstLine="0"/>
              <w:jc w:val="left"/>
              <w:rPr>
                <w:shd w:val="clear" w:color="auto" w:fill="auto"/>
              </w:rPr>
            </w:pPr>
            <w:r w:rsidRPr="00742F10">
              <w:rPr>
                <w:shd w:val="clear" w:color="auto" w:fill="auto"/>
              </w:rPr>
              <w:t>0.548</w:t>
            </w:r>
            <w:r w:rsidRPr="00742F10">
              <w:rPr>
                <w:shd w:val="clear" w:color="auto" w:fill="auto"/>
              </w:rPr>
              <w:br/>
              <w:t>(0.364-0.739)</w:t>
            </w:r>
          </w:p>
        </w:tc>
        <w:tc>
          <w:tcPr>
            <w:tcW w:w="1360"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 27.7</w:t>
            </w:r>
          </w:p>
        </w:tc>
        <w:tc>
          <w:tcPr>
            <w:tcW w:w="90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83.3%</w:t>
            </w:r>
          </w:p>
        </w:tc>
        <w:tc>
          <w:tcPr>
            <w:tcW w:w="90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38.1%</w:t>
            </w:r>
          </w:p>
        </w:tc>
        <w:tc>
          <w:tcPr>
            <w:tcW w:w="1701"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3.08</w:t>
            </w:r>
            <w:r w:rsidRPr="00742F10">
              <w:rPr>
                <w:shd w:val="clear" w:color="auto" w:fill="auto"/>
              </w:rPr>
              <w:br/>
              <w:t>(0.60-15.88)</w:t>
            </w:r>
          </w:p>
        </w:tc>
        <w:tc>
          <w:tcPr>
            <w:tcW w:w="1020"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0.298</w:t>
            </w:r>
          </w:p>
        </w:tc>
      </w:tr>
      <w:tr w:rsidR="00742F10" w:rsidRPr="00742F10" w:rsidTr="00742F10">
        <w:trPr>
          <w:cantSplit/>
          <w:jc w:val="center"/>
        </w:trPr>
        <w:tc>
          <w:tcPr>
            <w:tcW w:w="1474" w:type="dxa"/>
            <w:shd w:val="clear" w:color="auto" w:fill="FFFFFF" w:themeFill="background1"/>
            <w:vAlign w:val="center"/>
          </w:tcPr>
          <w:p w:rsidR="00742F10" w:rsidRPr="00742F10" w:rsidRDefault="00742F10" w:rsidP="00742F10">
            <w:pPr>
              <w:ind w:firstLine="0"/>
              <w:jc w:val="left"/>
              <w:rPr>
                <w:shd w:val="clear" w:color="auto" w:fill="auto"/>
              </w:rPr>
            </w:pPr>
            <w:r w:rsidRPr="00742F10">
              <w:rPr>
                <w:shd w:val="clear" w:color="auto" w:fill="auto"/>
              </w:rPr>
              <w:t>NT-</w:t>
            </w:r>
            <w:proofErr w:type="spellStart"/>
            <w:r w:rsidRPr="00742F10">
              <w:rPr>
                <w:shd w:val="clear" w:color="auto" w:fill="auto"/>
              </w:rPr>
              <w:t>proBNP</w:t>
            </w:r>
            <w:proofErr w:type="spellEnd"/>
            <w:r w:rsidRPr="00742F10">
              <w:rPr>
                <w:shd w:val="clear" w:color="auto" w:fill="auto"/>
              </w:rPr>
              <w:br/>
              <w:t>(</w:t>
            </w:r>
            <w:proofErr w:type="spellStart"/>
            <w:r w:rsidRPr="00742F10">
              <w:rPr>
                <w:shd w:val="clear" w:color="auto" w:fill="auto"/>
              </w:rPr>
              <w:t>pg</w:t>
            </w:r>
            <w:proofErr w:type="spellEnd"/>
            <w:r w:rsidRPr="00742F10">
              <w:rPr>
                <w:shd w:val="clear" w:color="auto" w:fill="auto"/>
              </w:rPr>
              <w:t>/mL)</w:t>
            </w:r>
          </w:p>
        </w:tc>
        <w:tc>
          <w:tcPr>
            <w:tcW w:w="1701" w:type="dxa"/>
            <w:shd w:val="clear" w:color="auto" w:fill="FFFFFF" w:themeFill="background1"/>
            <w:vAlign w:val="center"/>
          </w:tcPr>
          <w:p w:rsidR="00742F10" w:rsidRPr="00742F10" w:rsidRDefault="00742F10" w:rsidP="00742F10">
            <w:pPr>
              <w:ind w:firstLine="0"/>
              <w:jc w:val="left"/>
              <w:rPr>
                <w:shd w:val="clear" w:color="auto" w:fill="auto"/>
              </w:rPr>
            </w:pPr>
            <w:r w:rsidRPr="00742F10">
              <w:rPr>
                <w:shd w:val="clear" w:color="auto" w:fill="auto"/>
              </w:rPr>
              <w:t>0.823</w:t>
            </w:r>
            <w:r w:rsidRPr="00742F10">
              <w:rPr>
                <w:shd w:val="clear" w:color="auto" w:fill="auto"/>
              </w:rPr>
              <w:br/>
              <w:t>(0.668-0.943)</w:t>
            </w:r>
          </w:p>
        </w:tc>
        <w:tc>
          <w:tcPr>
            <w:tcW w:w="1360"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 200</w:t>
            </w:r>
          </w:p>
        </w:tc>
        <w:tc>
          <w:tcPr>
            <w:tcW w:w="90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91.7%</w:t>
            </w:r>
          </w:p>
        </w:tc>
        <w:tc>
          <w:tcPr>
            <w:tcW w:w="90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73.8%</w:t>
            </w:r>
          </w:p>
        </w:tc>
        <w:tc>
          <w:tcPr>
            <w:tcW w:w="1701"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31.00</w:t>
            </w:r>
            <w:r w:rsidRPr="00742F10">
              <w:rPr>
                <w:shd w:val="clear" w:color="auto" w:fill="auto"/>
              </w:rPr>
              <w:br/>
              <w:t>(3.58-268.71)</w:t>
            </w:r>
          </w:p>
        </w:tc>
        <w:tc>
          <w:tcPr>
            <w:tcW w:w="1020"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&lt; 0.001</w:t>
            </w:r>
          </w:p>
        </w:tc>
      </w:tr>
    </w:tbl>
    <w:p w:rsidR="00742F10" w:rsidRPr="00742F10" w:rsidRDefault="00742F10" w:rsidP="00742F10">
      <w:pPr>
        <w:spacing w:after="80"/>
        <w:ind w:firstLine="425"/>
        <w:rPr>
          <w:rFonts w:eastAsia="Times New Roman"/>
          <w:shd w:val="clear" w:color="auto" w:fill="auto"/>
        </w:rPr>
      </w:pPr>
      <w:r w:rsidRPr="00742F10">
        <w:rPr>
          <w:rFonts w:eastAsia="Times New Roman"/>
          <w:b/>
          <w:shd w:val="clear" w:color="auto" w:fill="auto"/>
        </w:rPr>
        <w:t xml:space="preserve">Interpretation: </w:t>
      </w:r>
      <w:r w:rsidRPr="00742F10">
        <w:rPr>
          <w:rFonts w:eastAsia="Times New Roman"/>
          <w:shd w:val="clear" w:color="auto" w:fill="auto"/>
        </w:rPr>
        <w:t xml:space="preserve">At 6 months after RFA, </w:t>
      </w:r>
      <w:proofErr w:type="spellStart"/>
      <w:r w:rsidRPr="00742F10">
        <w:rPr>
          <w:rFonts w:eastAsia="Times New Roman"/>
          <w:shd w:val="clear" w:color="auto" w:fill="auto"/>
        </w:rPr>
        <w:t>LADi</w:t>
      </w:r>
      <w:proofErr w:type="spellEnd"/>
      <w:r w:rsidRPr="00742F10">
        <w:rPr>
          <w:rFonts w:eastAsia="Times New Roman"/>
          <w:shd w:val="clear" w:color="auto" w:fill="auto"/>
        </w:rPr>
        <w:t xml:space="preserve"> and NT-</w:t>
      </w:r>
      <w:proofErr w:type="spellStart"/>
      <w:r w:rsidRPr="00742F10">
        <w:rPr>
          <w:rFonts w:eastAsia="Times New Roman"/>
          <w:shd w:val="clear" w:color="auto" w:fill="auto"/>
        </w:rPr>
        <w:t>proBNP</w:t>
      </w:r>
      <w:proofErr w:type="spellEnd"/>
      <w:r w:rsidRPr="00742F10">
        <w:rPr>
          <w:rFonts w:eastAsia="Times New Roman"/>
          <w:shd w:val="clear" w:color="auto" w:fill="auto"/>
        </w:rPr>
        <w:t xml:space="preserve"> had the best prognostic value for recurrence; multivariable combined models showed better predictive performance than </w:t>
      </w:r>
      <w:proofErr w:type="spellStart"/>
      <w:r w:rsidRPr="00742F10">
        <w:rPr>
          <w:rFonts w:eastAsia="Times New Roman"/>
          <w:shd w:val="clear" w:color="auto" w:fill="auto"/>
        </w:rPr>
        <w:t>univariable</w:t>
      </w:r>
      <w:proofErr w:type="spellEnd"/>
      <w:r w:rsidRPr="00742F10">
        <w:rPr>
          <w:rFonts w:eastAsia="Times New Roman"/>
          <w:shd w:val="clear" w:color="auto" w:fill="auto"/>
        </w:rPr>
        <w:t xml:space="preserve"> models.</w:t>
      </w:r>
    </w:p>
    <w:p w:rsidR="00742F10" w:rsidRPr="00742F10" w:rsidRDefault="00742F10" w:rsidP="00742F10">
      <w:pPr>
        <w:keepNext/>
        <w:spacing w:before="120" w:after="80"/>
        <w:ind w:firstLine="0"/>
        <w:jc w:val="center"/>
        <w:rPr>
          <w:rFonts w:eastAsia="Times New Roman"/>
          <w:shd w:val="clear" w:color="auto" w:fill="auto"/>
        </w:rPr>
      </w:pPr>
      <w:r w:rsidRPr="00742F10">
        <w:rPr>
          <w:rFonts w:eastAsia="Times New Roman"/>
          <w:shd w:val="clear" w:color="auto" w:fill="auto"/>
        </w:rPr>
        <w:t>Table 3.41. Comparison of the performance of selected predictive models</w:t>
      </w:r>
    </w:p>
    <w:tbl>
      <w:tblPr>
        <w:tblStyle w:val="TableGrid2"/>
        <w:tblW w:w="0" w:type="auto"/>
        <w:jc w:val="center"/>
        <w:shd w:val="clear" w:color="auto" w:fill="FFFFFF" w:themeFill="background1"/>
        <w:tblLook w:val="04A0" w:firstRow="1" w:lastRow="0" w:firstColumn="1" w:lastColumn="0" w:noHBand="0" w:noVBand="1"/>
      </w:tblPr>
      <w:tblGrid>
        <w:gridCol w:w="844"/>
        <w:gridCol w:w="2818"/>
        <w:gridCol w:w="1240"/>
        <w:gridCol w:w="1240"/>
      </w:tblGrid>
      <w:tr w:rsidR="00742F10" w:rsidRPr="00742F10" w:rsidTr="00742F10">
        <w:trPr>
          <w:tblHeader/>
          <w:jc w:val="center"/>
        </w:trPr>
        <w:tc>
          <w:tcPr>
            <w:tcW w:w="90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Model</w:t>
            </w:r>
          </w:p>
        </w:tc>
        <w:tc>
          <w:tcPr>
            <w:tcW w:w="4762"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Variables</w:t>
            </w:r>
          </w:p>
        </w:tc>
        <w:tc>
          <w:tcPr>
            <w:tcW w:w="1701"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AUC at 3 months</w:t>
            </w:r>
          </w:p>
        </w:tc>
        <w:tc>
          <w:tcPr>
            <w:tcW w:w="1701"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AUC at 6 months</w:t>
            </w:r>
          </w:p>
        </w:tc>
      </w:tr>
      <w:tr w:rsidR="00742F10" w:rsidRPr="00742F10" w:rsidTr="00742F10">
        <w:trPr>
          <w:cantSplit/>
          <w:jc w:val="center"/>
        </w:trPr>
        <w:tc>
          <w:tcPr>
            <w:tcW w:w="90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1</w:t>
            </w:r>
          </w:p>
        </w:tc>
        <w:tc>
          <w:tcPr>
            <w:tcW w:w="4762" w:type="dxa"/>
            <w:shd w:val="clear" w:color="auto" w:fill="FFFFFF" w:themeFill="background1"/>
            <w:vAlign w:val="center"/>
          </w:tcPr>
          <w:p w:rsidR="00742F10" w:rsidRPr="00742F10" w:rsidRDefault="00742F10" w:rsidP="00742F10">
            <w:pPr>
              <w:ind w:firstLine="0"/>
              <w:jc w:val="center"/>
              <w:rPr>
                <w:shd w:val="clear" w:color="auto" w:fill="auto"/>
              </w:rPr>
            </w:pPr>
            <w:proofErr w:type="spellStart"/>
            <w:r w:rsidRPr="00742F10">
              <w:rPr>
                <w:shd w:val="clear" w:color="auto" w:fill="auto"/>
              </w:rPr>
              <w:t>LADi</w:t>
            </w:r>
            <w:proofErr w:type="spellEnd"/>
          </w:p>
        </w:tc>
        <w:tc>
          <w:tcPr>
            <w:tcW w:w="1701"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0.835</w:t>
            </w:r>
          </w:p>
        </w:tc>
        <w:tc>
          <w:tcPr>
            <w:tcW w:w="1701"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0.810</w:t>
            </w:r>
          </w:p>
        </w:tc>
      </w:tr>
      <w:tr w:rsidR="00742F10" w:rsidRPr="00742F10" w:rsidTr="00742F10">
        <w:trPr>
          <w:cantSplit/>
          <w:jc w:val="center"/>
        </w:trPr>
        <w:tc>
          <w:tcPr>
            <w:tcW w:w="90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2</w:t>
            </w:r>
          </w:p>
        </w:tc>
        <w:tc>
          <w:tcPr>
            <w:tcW w:w="4762" w:type="dxa"/>
            <w:shd w:val="clear" w:color="auto" w:fill="FFFFFF" w:themeFill="background1"/>
            <w:vAlign w:val="center"/>
          </w:tcPr>
          <w:p w:rsidR="00742F10" w:rsidRPr="00742F10" w:rsidRDefault="00742F10" w:rsidP="00742F10">
            <w:pPr>
              <w:ind w:firstLine="0"/>
              <w:jc w:val="left"/>
              <w:rPr>
                <w:shd w:val="clear" w:color="auto" w:fill="auto"/>
              </w:rPr>
            </w:pPr>
            <w:r w:rsidRPr="00742F10">
              <w:rPr>
                <w:shd w:val="clear" w:color="auto" w:fill="auto"/>
              </w:rPr>
              <w:t>Log10(NT-</w:t>
            </w:r>
            <w:proofErr w:type="spellStart"/>
            <w:r w:rsidRPr="00742F10">
              <w:rPr>
                <w:shd w:val="clear" w:color="auto" w:fill="auto"/>
              </w:rPr>
              <w:t>proBNP</w:t>
            </w:r>
            <w:proofErr w:type="spellEnd"/>
            <w:r w:rsidRPr="00742F10">
              <w:rPr>
                <w:shd w:val="clear" w:color="auto" w:fill="auto"/>
              </w:rPr>
              <w:t>)</w:t>
            </w:r>
          </w:p>
        </w:tc>
        <w:tc>
          <w:tcPr>
            <w:tcW w:w="1701"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0.823</w:t>
            </w:r>
          </w:p>
        </w:tc>
        <w:tc>
          <w:tcPr>
            <w:tcW w:w="1701"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0.823</w:t>
            </w:r>
          </w:p>
        </w:tc>
      </w:tr>
      <w:tr w:rsidR="00742F10" w:rsidRPr="00742F10" w:rsidTr="00742F10">
        <w:trPr>
          <w:cantSplit/>
          <w:jc w:val="center"/>
        </w:trPr>
        <w:tc>
          <w:tcPr>
            <w:tcW w:w="90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3</w:t>
            </w:r>
          </w:p>
        </w:tc>
        <w:tc>
          <w:tcPr>
            <w:tcW w:w="4762" w:type="dxa"/>
            <w:shd w:val="clear" w:color="auto" w:fill="FFFFFF" w:themeFill="background1"/>
            <w:vAlign w:val="center"/>
          </w:tcPr>
          <w:p w:rsidR="00742F10" w:rsidRPr="00742F10" w:rsidRDefault="00742F10" w:rsidP="00742F10">
            <w:pPr>
              <w:ind w:firstLine="0"/>
              <w:jc w:val="left"/>
              <w:rPr>
                <w:shd w:val="clear" w:color="auto" w:fill="auto"/>
              </w:rPr>
            </w:pPr>
            <w:r w:rsidRPr="00742F10">
              <w:rPr>
                <w:shd w:val="clear" w:color="auto" w:fill="auto"/>
              </w:rPr>
              <w:t>AF type (persistent)</w:t>
            </w:r>
          </w:p>
        </w:tc>
        <w:tc>
          <w:tcPr>
            <w:tcW w:w="1701"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0.738</w:t>
            </w:r>
          </w:p>
        </w:tc>
        <w:tc>
          <w:tcPr>
            <w:tcW w:w="1701"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0.750</w:t>
            </w:r>
          </w:p>
        </w:tc>
      </w:tr>
      <w:tr w:rsidR="00742F10" w:rsidRPr="00742F10" w:rsidTr="00742F10">
        <w:trPr>
          <w:cantSplit/>
          <w:jc w:val="center"/>
        </w:trPr>
        <w:tc>
          <w:tcPr>
            <w:tcW w:w="90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4</w:t>
            </w:r>
          </w:p>
        </w:tc>
        <w:tc>
          <w:tcPr>
            <w:tcW w:w="4762" w:type="dxa"/>
            <w:shd w:val="clear" w:color="auto" w:fill="FFFFFF" w:themeFill="background1"/>
            <w:vAlign w:val="center"/>
          </w:tcPr>
          <w:p w:rsidR="00742F10" w:rsidRPr="00742F10" w:rsidRDefault="00742F10" w:rsidP="00742F10">
            <w:pPr>
              <w:ind w:firstLine="0"/>
              <w:jc w:val="left"/>
              <w:rPr>
                <w:shd w:val="clear" w:color="auto" w:fill="auto"/>
              </w:rPr>
            </w:pPr>
            <w:r w:rsidRPr="00742F10">
              <w:rPr>
                <w:shd w:val="clear" w:color="auto" w:fill="auto"/>
              </w:rPr>
              <w:t xml:space="preserve">AF type (persistent) + </w:t>
            </w:r>
            <w:proofErr w:type="spellStart"/>
            <w:r w:rsidRPr="00742F10">
              <w:rPr>
                <w:shd w:val="clear" w:color="auto" w:fill="auto"/>
              </w:rPr>
              <w:t>LADi</w:t>
            </w:r>
            <w:proofErr w:type="spellEnd"/>
          </w:p>
        </w:tc>
        <w:tc>
          <w:tcPr>
            <w:tcW w:w="1701"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0.881</w:t>
            </w:r>
          </w:p>
        </w:tc>
        <w:tc>
          <w:tcPr>
            <w:tcW w:w="1701"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0.877</w:t>
            </w:r>
          </w:p>
        </w:tc>
      </w:tr>
      <w:tr w:rsidR="00742F10" w:rsidRPr="00742F10" w:rsidTr="00742F10">
        <w:trPr>
          <w:cantSplit/>
          <w:jc w:val="center"/>
        </w:trPr>
        <w:tc>
          <w:tcPr>
            <w:tcW w:w="907"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lastRenderedPageBreak/>
              <w:t>5</w:t>
            </w:r>
          </w:p>
        </w:tc>
        <w:tc>
          <w:tcPr>
            <w:tcW w:w="4762" w:type="dxa"/>
            <w:shd w:val="clear" w:color="auto" w:fill="FFFFFF" w:themeFill="background1"/>
            <w:vAlign w:val="center"/>
          </w:tcPr>
          <w:p w:rsidR="00742F10" w:rsidRPr="00742F10" w:rsidRDefault="00742F10" w:rsidP="00742F10">
            <w:pPr>
              <w:ind w:firstLine="0"/>
              <w:jc w:val="left"/>
              <w:rPr>
                <w:shd w:val="clear" w:color="auto" w:fill="auto"/>
              </w:rPr>
            </w:pPr>
            <w:r w:rsidRPr="00742F10">
              <w:rPr>
                <w:shd w:val="clear" w:color="auto" w:fill="auto"/>
              </w:rPr>
              <w:t xml:space="preserve">AF type (persistent) + </w:t>
            </w:r>
            <w:proofErr w:type="spellStart"/>
            <w:r w:rsidRPr="00742F10">
              <w:rPr>
                <w:shd w:val="clear" w:color="auto" w:fill="auto"/>
              </w:rPr>
              <w:t>LADi</w:t>
            </w:r>
            <w:proofErr w:type="spellEnd"/>
            <w:r w:rsidRPr="00742F10">
              <w:rPr>
                <w:shd w:val="clear" w:color="auto" w:fill="auto"/>
              </w:rPr>
              <w:t xml:space="preserve"> + log10(NT-</w:t>
            </w:r>
            <w:proofErr w:type="spellStart"/>
            <w:r w:rsidRPr="00742F10">
              <w:rPr>
                <w:shd w:val="clear" w:color="auto" w:fill="auto"/>
              </w:rPr>
              <w:t>proBNP</w:t>
            </w:r>
            <w:proofErr w:type="spellEnd"/>
            <w:r w:rsidRPr="00742F10">
              <w:rPr>
                <w:shd w:val="clear" w:color="auto" w:fill="auto"/>
              </w:rPr>
              <w:t>)</w:t>
            </w:r>
          </w:p>
        </w:tc>
        <w:tc>
          <w:tcPr>
            <w:tcW w:w="1701"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0.889</w:t>
            </w:r>
          </w:p>
        </w:tc>
        <w:tc>
          <w:tcPr>
            <w:tcW w:w="1701" w:type="dxa"/>
            <w:shd w:val="clear" w:color="auto" w:fill="FFFFFF" w:themeFill="background1"/>
            <w:vAlign w:val="center"/>
          </w:tcPr>
          <w:p w:rsidR="00742F10" w:rsidRPr="00742F10" w:rsidRDefault="00742F10" w:rsidP="00742F10">
            <w:pPr>
              <w:ind w:firstLine="0"/>
              <w:jc w:val="center"/>
              <w:rPr>
                <w:shd w:val="clear" w:color="auto" w:fill="auto"/>
              </w:rPr>
            </w:pPr>
            <w:r w:rsidRPr="00742F10">
              <w:rPr>
                <w:shd w:val="clear" w:color="auto" w:fill="auto"/>
              </w:rPr>
              <w:t>0.889</w:t>
            </w:r>
          </w:p>
        </w:tc>
      </w:tr>
    </w:tbl>
    <w:p w:rsidR="00742F10" w:rsidRPr="00742F10" w:rsidRDefault="00742F10" w:rsidP="00742F10">
      <w:pPr>
        <w:spacing w:after="80"/>
        <w:ind w:firstLine="425"/>
        <w:rPr>
          <w:rFonts w:eastAsia="Times New Roman"/>
          <w:shd w:val="clear" w:color="auto" w:fill="auto"/>
        </w:rPr>
      </w:pPr>
      <w:r w:rsidRPr="00742F10">
        <w:rPr>
          <w:rFonts w:eastAsia="Times New Roman"/>
          <w:b/>
          <w:shd w:val="clear" w:color="auto" w:fill="auto"/>
        </w:rPr>
        <w:t xml:space="preserve">Interpretation: </w:t>
      </w:r>
      <w:r w:rsidRPr="00742F10">
        <w:rPr>
          <w:rFonts w:eastAsia="Times New Roman"/>
          <w:shd w:val="clear" w:color="auto" w:fill="auto"/>
        </w:rPr>
        <w:t xml:space="preserve">Combined multivariable models yielded better predictive performance than </w:t>
      </w:r>
      <w:proofErr w:type="spellStart"/>
      <w:r w:rsidRPr="00742F10">
        <w:rPr>
          <w:rFonts w:eastAsia="Times New Roman"/>
          <w:shd w:val="clear" w:color="auto" w:fill="auto"/>
        </w:rPr>
        <w:t>univariable</w:t>
      </w:r>
      <w:proofErr w:type="spellEnd"/>
      <w:r w:rsidRPr="00742F10">
        <w:rPr>
          <w:rFonts w:eastAsia="Times New Roman"/>
          <w:shd w:val="clear" w:color="auto" w:fill="auto"/>
        </w:rPr>
        <w:t xml:space="preserve"> models. The model incorporating AF phenotype (persistent), indexed left atrial diameter, and NT-</w:t>
      </w:r>
      <w:proofErr w:type="spellStart"/>
      <w:r w:rsidRPr="00742F10">
        <w:rPr>
          <w:rFonts w:eastAsia="Times New Roman"/>
          <w:shd w:val="clear" w:color="auto" w:fill="auto"/>
        </w:rPr>
        <w:t>proBNP</w:t>
      </w:r>
      <w:proofErr w:type="spellEnd"/>
      <w:r w:rsidRPr="00742F10">
        <w:rPr>
          <w:rFonts w:eastAsia="Times New Roman"/>
          <w:shd w:val="clear" w:color="auto" w:fill="auto"/>
        </w:rPr>
        <w:t xml:space="preserve"> concentration achieved an AUC of 0.889 at both 3-month and 6-month follow-up after RFA.</w:t>
      </w:r>
    </w:p>
    <w:p w:rsidR="00742F10" w:rsidRPr="00742F10" w:rsidRDefault="00742F10" w:rsidP="00742F10">
      <w:pPr>
        <w:spacing w:after="200"/>
        <w:ind w:firstLine="0"/>
        <w:jc w:val="left"/>
        <w:rPr>
          <w:rFonts w:eastAsia="Times New Roman"/>
          <w:shd w:val="clear" w:color="auto" w:fill="auto"/>
        </w:rPr>
      </w:pPr>
      <w:r w:rsidRPr="00742F10">
        <w:rPr>
          <w:rFonts w:eastAsia="Times New Roman"/>
          <w:shd w:val="clear" w:color="auto" w:fill="auto"/>
        </w:rPr>
        <w:br w:type="page"/>
      </w:r>
    </w:p>
    <w:p w:rsidR="00742F10" w:rsidRPr="00742F10" w:rsidRDefault="00742F10" w:rsidP="00742F10">
      <w:pPr>
        <w:keepNext/>
        <w:keepLines/>
        <w:spacing w:before="120" w:after="80"/>
        <w:ind w:firstLine="0"/>
        <w:jc w:val="center"/>
        <w:outlineLvl w:val="0"/>
        <w:rPr>
          <w:rFonts w:eastAsia="MS Gothic"/>
          <w:b/>
          <w:bCs/>
          <w:shd w:val="clear" w:color="auto" w:fill="auto"/>
        </w:rPr>
      </w:pPr>
      <w:r w:rsidRPr="00742F10">
        <w:rPr>
          <w:rFonts w:eastAsia="Times New Roman"/>
          <w:b/>
          <w:bCs/>
          <w:shd w:val="clear" w:color="auto" w:fill="auto"/>
        </w:rPr>
        <w:lastRenderedPageBreak/>
        <w:t>Chapter 4. DISCUSSION</w:t>
      </w:r>
    </w:p>
    <w:p w:rsidR="00742F10" w:rsidRPr="00742F10" w:rsidRDefault="00742F10" w:rsidP="00742F10">
      <w:pPr>
        <w:keepNext/>
        <w:keepLines/>
        <w:spacing w:before="120" w:after="80"/>
        <w:ind w:firstLine="0"/>
        <w:jc w:val="left"/>
        <w:outlineLvl w:val="1"/>
        <w:rPr>
          <w:rFonts w:eastAsia="MS Gothic"/>
          <w:b/>
          <w:bCs/>
          <w:shd w:val="clear" w:color="auto" w:fill="auto"/>
        </w:rPr>
      </w:pPr>
      <w:r w:rsidRPr="00742F10">
        <w:rPr>
          <w:rFonts w:eastAsia="Times New Roman"/>
          <w:b/>
          <w:bCs/>
          <w:shd w:val="clear" w:color="auto" w:fill="auto"/>
        </w:rPr>
        <w:t>4.1. General characteristics of the study patients</w:t>
      </w:r>
    </w:p>
    <w:p w:rsidR="00742F10" w:rsidRPr="00742F10" w:rsidRDefault="00742F10" w:rsidP="00742F10">
      <w:pPr>
        <w:keepNext/>
        <w:keepLines/>
        <w:spacing w:before="120" w:after="80"/>
        <w:ind w:firstLine="0"/>
        <w:jc w:val="left"/>
        <w:outlineLvl w:val="2"/>
        <w:rPr>
          <w:rFonts w:eastAsia="MS Gothic"/>
          <w:b/>
          <w:bCs/>
          <w:shd w:val="clear" w:color="auto" w:fill="auto"/>
        </w:rPr>
      </w:pPr>
      <w:r w:rsidRPr="00742F10">
        <w:rPr>
          <w:rFonts w:eastAsia="Times New Roman"/>
          <w:b/>
          <w:bCs/>
          <w:shd w:val="clear" w:color="auto" w:fill="auto"/>
        </w:rPr>
        <w:t>4.1.1. Age and sex</w:t>
      </w:r>
    </w:p>
    <w:p w:rsidR="00742F10" w:rsidRPr="00742F10" w:rsidRDefault="00742F10" w:rsidP="00742F10">
      <w:pPr>
        <w:spacing w:after="80"/>
        <w:ind w:firstLine="425"/>
        <w:rPr>
          <w:rFonts w:eastAsia="Times New Roman"/>
          <w:shd w:val="clear" w:color="auto" w:fill="auto"/>
        </w:rPr>
      </w:pPr>
      <w:r w:rsidRPr="00742F10">
        <w:rPr>
          <w:rFonts w:eastAsia="Times New Roman"/>
          <w:shd w:val="clear" w:color="auto" w:fill="auto"/>
        </w:rPr>
        <w:t>In this study, men accounted for 68.2% and women for 31.8%; the mean age was 59.40 ± 11.43 years, and the group aged ≥ 61 years accounted for 57.3%. These findings are consistent with the epidemiological pattern of AF, which generally increases with age and is more common in men in interventional cohorts. However, the mean age was substantially lower than in community cohorts because the study selected patients indicated for RFA and excluded renal failure, heart failure with low ejection fraction, and severe structural heart disease.</w:t>
      </w:r>
    </w:p>
    <w:p w:rsidR="00742F10" w:rsidRPr="00742F10" w:rsidRDefault="00742F10" w:rsidP="00742F10">
      <w:pPr>
        <w:keepNext/>
        <w:keepLines/>
        <w:spacing w:before="120" w:after="80"/>
        <w:ind w:firstLine="0"/>
        <w:jc w:val="left"/>
        <w:outlineLvl w:val="2"/>
        <w:rPr>
          <w:rFonts w:eastAsia="MS Gothic"/>
          <w:b/>
          <w:bCs/>
          <w:shd w:val="clear" w:color="auto" w:fill="auto"/>
        </w:rPr>
      </w:pPr>
      <w:r w:rsidRPr="00742F10">
        <w:rPr>
          <w:rFonts w:eastAsia="Times New Roman"/>
          <w:b/>
          <w:bCs/>
          <w:shd w:val="clear" w:color="auto" w:fill="auto"/>
        </w:rPr>
        <w:t>4.1.2. Clinical symptoms</w:t>
      </w:r>
    </w:p>
    <w:p w:rsidR="00742F10" w:rsidRPr="00742F10" w:rsidRDefault="00742F10" w:rsidP="00742F10">
      <w:pPr>
        <w:spacing w:after="80"/>
        <w:ind w:firstLine="425"/>
        <w:rPr>
          <w:rFonts w:eastAsia="Times New Roman"/>
          <w:shd w:val="clear" w:color="auto" w:fill="auto"/>
        </w:rPr>
      </w:pPr>
      <w:r w:rsidRPr="00742F10">
        <w:rPr>
          <w:rFonts w:eastAsia="Times New Roman"/>
          <w:shd w:val="clear" w:color="auto" w:fill="auto"/>
        </w:rPr>
        <w:t>Palpitations were the most common symptom, accounting for 75.5%; fatigue, chest pain, and dyspnea occurred at lower rates. According to the EHRA score, all patients had symptoms affecting quality of life, mainly at grades 2b and 3. This is consistent with the principal objective of RFA, namely symptom improvement and reduction of AF burden in patients with persistent clinical complaints.</w:t>
      </w:r>
    </w:p>
    <w:p w:rsidR="00742F10" w:rsidRPr="00742F10" w:rsidRDefault="00742F10" w:rsidP="00742F10">
      <w:pPr>
        <w:keepNext/>
        <w:keepLines/>
        <w:spacing w:before="120" w:after="80"/>
        <w:ind w:firstLine="0"/>
        <w:jc w:val="left"/>
        <w:outlineLvl w:val="2"/>
        <w:rPr>
          <w:rFonts w:eastAsia="MS Gothic"/>
          <w:b/>
          <w:bCs/>
          <w:shd w:val="clear" w:color="auto" w:fill="auto"/>
        </w:rPr>
      </w:pPr>
      <w:r w:rsidRPr="00742F10">
        <w:rPr>
          <w:rFonts w:eastAsia="Times New Roman"/>
          <w:b/>
          <w:bCs/>
          <w:shd w:val="clear" w:color="auto" w:fill="auto"/>
        </w:rPr>
        <w:t>4.1.3. Clinical risk factors</w:t>
      </w:r>
    </w:p>
    <w:p w:rsidR="00742F10" w:rsidRPr="00742F10" w:rsidRDefault="00742F10" w:rsidP="00742F10">
      <w:pPr>
        <w:spacing w:after="80"/>
        <w:ind w:firstLine="425"/>
        <w:rPr>
          <w:rFonts w:eastAsia="Times New Roman"/>
          <w:shd w:val="clear" w:color="auto" w:fill="auto"/>
        </w:rPr>
      </w:pPr>
      <w:r w:rsidRPr="00742F10">
        <w:rPr>
          <w:rFonts w:eastAsia="Times New Roman"/>
          <w:shd w:val="clear" w:color="auto" w:fill="auto"/>
        </w:rPr>
        <w:t>Hypertension was the most common risk factor (56.4%), followed by diabetes mellitus (12.7%) and coronary artery disease (4.5%). Hypertension, advanced age, and metabolic disorders promote increased filling pressure, left atrial dilatation, inflammation, and atrial myocardial fibrosis. The rates of coronary artery disease, stroke, and heart failure in this study were low because of strict exclusion criteria; therefore, the findings reflect a group of AF patients selected for rhythm intervention.</w:t>
      </w:r>
    </w:p>
    <w:p w:rsidR="00742F10" w:rsidRPr="00742F10" w:rsidRDefault="00742F10" w:rsidP="00742F10">
      <w:pPr>
        <w:keepNext/>
        <w:keepLines/>
        <w:spacing w:before="120" w:after="80"/>
        <w:ind w:firstLine="0"/>
        <w:jc w:val="left"/>
        <w:outlineLvl w:val="1"/>
        <w:rPr>
          <w:rFonts w:eastAsia="MS Gothic"/>
          <w:b/>
          <w:bCs/>
          <w:shd w:val="clear" w:color="auto" w:fill="auto"/>
        </w:rPr>
      </w:pPr>
      <w:r w:rsidRPr="00742F10">
        <w:rPr>
          <w:rFonts w:eastAsia="Times New Roman"/>
          <w:b/>
          <w:bCs/>
          <w:shd w:val="clear" w:color="auto" w:fill="auto"/>
        </w:rPr>
        <w:lastRenderedPageBreak/>
        <w:t>4.2. Left atrial morphology, MMP-2, OPN, and NT-</w:t>
      </w:r>
      <w:proofErr w:type="spellStart"/>
      <w:r w:rsidRPr="00742F10">
        <w:rPr>
          <w:rFonts w:eastAsia="Times New Roman"/>
          <w:b/>
          <w:bCs/>
          <w:shd w:val="clear" w:color="auto" w:fill="auto"/>
        </w:rPr>
        <w:t>proBNP</w:t>
      </w:r>
      <w:proofErr w:type="spellEnd"/>
      <w:r w:rsidRPr="00742F10">
        <w:rPr>
          <w:rFonts w:eastAsia="Times New Roman"/>
          <w:b/>
          <w:bCs/>
          <w:shd w:val="clear" w:color="auto" w:fill="auto"/>
        </w:rPr>
        <w:t xml:space="preserve"> concentrations, and associations with selected clinical characteristics</w:t>
      </w:r>
    </w:p>
    <w:p w:rsidR="00742F10" w:rsidRPr="00742F10" w:rsidRDefault="00742F10" w:rsidP="00742F10">
      <w:pPr>
        <w:keepNext/>
        <w:keepLines/>
        <w:spacing w:before="120" w:after="80"/>
        <w:ind w:firstLine="0"/>
        <w:jc w:val="left"/>
        <w:outlineLvl w:val="2"/>
        <w:rPr>
          <w:rFonts w:eastAsia="MS Gothic"/>
          <w:b/>
          <w:bCs/>
          <w:shd w:val="clear" w:color="auto" w:fill="auto"/>
        </w:rPr>
      </w:pPr>
      <w:r w:rsidRPr="00742F10">
        <w:rPr>
          <w:rFonts w:eastAsia="Times New Roman"/>
          <w:b/>
          <w:bCs/>
          <w:shd w:val="clear" w:color="auto" w:fill="auto"/>
        </w:rPr>
        <w:t>4.2.1. Left atrial dimensions in the study patients</w:t>
      </w:r>
    </w:p>
    <w:p w:rsidR="00742F10" w:rsidRPr="00742F10" w:rsidRDefault="00742F10" w:rsidP="00742F10">
      <w:pPr>
        <w:spacing w:after="80"/>
        <w:ind w:firstLine="425"/>
        <w:rPr>
          <w:rFonts w:eastAsia="Times New Roman"/>
          <w:shd w:val="clear" w:color="auto" w:fill="auto"/>
        </w:rPr>
      </w:pPr>
      <w:r w:rsidRPr="00742F10">
        <w:rPr>
          <w:rFonts w:eastAsia="Times New Roman"/>
          <w:shd w:val="clear" w:color="auto" w:fill="auto"/>
        </w:rPr>
        <w:t xml:space="preserve">Mean LAD was 36.49 ± 5.48 mm and </w:t>
      </w:r>
      <w:proofErr w:type="spellStart"/>
      <w:r w:rsidRPr="00742F10">
        <w:rPr>
          <w:rFonts w:eastAsia="Times New Roman"/>
          <w:shd w:val="clear" w:color="auto" w:fill="auto"/>
        </w:rPr>
        <w:t>LADi</w:t>
      </w:r>
      <w:proofErr w:type="spellEnd"/>
      <w:r w:rsidRPr="00742F10">
        <w:rPr>
          <w:rFonts w:eastAsia="Times New Roman"/>
          <w:shd w:val="clear" w:color="auto" w:fill="auto"/>
        </w:rPr>
        <w:t xml:space="preserve"> was 21.50 ± 3.19 mm/m². The persistent AF group had larger LAD, LA-AP_CT, and </w:t>
      </w:r>
      <w:proofErr w:type="spellStart"/>
      <w:r w:rsidRPr="00742F10">
        <w:rPr>
          <w:rFonts w:eastAsia="Times New Roman"/>
          <w:shd w:val="clear" w:color="auto" w:fill="auto"/>
        </w:rPr>
        <w:t>LADi</w:t>
      </w:r>
      <w:proofErr w:type="spellEnd"/>
      <w:r w:rsidRPr="00742F10">
        <w:rPr>
          <w:rFonts w:eastAsia="Times New Roman"/>
          <w:shd w:val="clear" w:color="auto" w:fill="auto"/>
        </w:rPr>
        <w:t xml:space="preserve"> than the paroxysmal AF group, consistent with the mechanism whereby prolonged AF induces electrical, mechanical, and histological remodeling of the left atrium. Because the study did not have consistently available LAVI measurements, LAD/</w:t>
      </w:r>
      <w:proofErr w:type="spellStart"/>
      <w:r w:rsidRPr="00742F10">
        <w:rPr>
          <w:rFonts w:eastAsia="Times New Roman"/>
          <w:shd w:val="clear" w:color="auto" w:fill="auto"/>
        </w:rPr>
        <w:t>LADi</w:t>
      </w:r>
      <w:proofErr w:type="spellEnd"/>
      <w:r w:rsidRPr="00742F10">
        <w:rPr>
          <w:rFonts w:eastAsia="Times New Roman"/>
          <w:shd w:val="clear" w:color="auto" w:fill="auto"/>
        </w:rPr>
        <w:t xml:space="preserve"> were used as feasible surrogate morphometric indices; however, they do not fully reflect atrial volume and fibrosis.</w:t>
      </w:r>
    </w:p>
    <w:p w:rsidR="00742F10" w:rsidRPr="00742F10" w:rsidRDefault="00742F10" w:rsidP="00742F10">
      <w:pPr>
        <w:spacing w:after="80"/>
        <w:ind w:firstLine="425"/>
        <w:rPr>
          <w:rFonts w:eastAsia="Times New Roman"/>
          <w:shd w:val="clear" w:color="auto" w:fill="auto"/>
        </w:rPr>
      </w:pPr>
      <w:r w:rsidRPr="00742F10">
        <w:rPr>
          <w:rFonts w:eastAsia="Times New Roman"/>
          <w:shd w:val="clear" w:color="auto" w:fill="auto"/>
        </w:rPr>
        <w:t xml:space="preserve">When indexed to body surface area, </w:t>
      </w:r>
      <w:proofErr w:type="spellStart"/>
      <w:r w:rsidRPr="00742F10">
        <w:rPr>
          <w:rFonts w:eastAsia="Times New Roman"/>
          <w:shd w:val="clear" w:color="auto" w:fill="auto"/>
        </w:rPr>
        <w:t>LADi</w:t>
      </w:r>
      <w:proofErr w:type="spellEnd"/>
      <w:r w:rsidRPr="00742F10">
        <w:rPr>
          <w:rFonts w:eastAsia="Times New Roman"/>
          <w:shd w:val="clear" w:color="auto" w:fill="auto"/>
        </w:rPr>
        <w:t xml:space="preserve"> showed clearer practical value than LAD alone, particularly in the Vietnamese population, whose body habitus may be smaller than that of many Western populations. </w:t>
      </w:r>
      <w:proofErr w:type="spellStart"/>
      <w:r w:rsidRPr="00742F10">
        <w:rPr>
          <w:rFonts w:eastAsia="Times New Roman"/>
          <w:shd w:val="clear" w:color="auto" w:fill="auto"/>
        </w:rPr>
        <w:t>LADi</w:t>
      </w:r>
      <w:proofErr w:type="spellEnd"/>
      <w:r w:rsidRPr="00742F10">
        <w:rPr>
          <w:rFonts w:eastAsia="Times New Roman"/>
          <w:shd w:val="clear" w:color="auto" w:fill="auto"/>
        </w:rPr>
        <w:t xml:space="preserve"> correlated with age, EHRA score, and time since AF detection, and was also a prominent predictor of recurrence. Nevertheless, </w:t>
      </w:r>
      <w:proofErr w:type="spellStart"/>
      <w:r w:rsidRPr="00742F10">
        <w:rPr>
          <w:rFonts w:eastAsia="Times New Roman"/>
          <w:shd w:val="clear" w:color="auto" w:fill="auto"/>
        </w:rPr>
        <w:t>LADi</w:t>
      </w:r>
      <w:proofErr w:type="spellEnd"/>
      <w:r w:rsidRPr="00742F10">
        <w:rPr>
          <w:rFonts w:eastAsia="Times New Roman"/>
          <w:shd w:val="clear" w:color="auto" w:fill="auto"/>
        </w:rPr>
        <w:t xml:space="preserve"> remains a one-dimensional index and should be interpreted within the overall imaging and clinical context.</w:t>
      </w:r>
    </w:p>
    <w:p w:rsidR="00742F10" w:rsidRPr="00742F10" w:rsidRDefault="00742F10" w:rsidP="00742F10">
      <w:pPr>
        <w:keepNext/>
        <w:keepLines/>
        <w:spacing w:before="120" w:after="80"/>
        <w:ind w:firstLine="0"/>
        <w:jc w:val="left"/>
        <w:outlineLvl w:val="2"/>
        <w:rPr>
          <w:rFonts w:eastAsia="MS Gothic"/>
          <w:b/>
          <w:bCs/>
          <w:shd w:val="clear" w:color="auto" w:fill="auto"/>
        </w:rPr>
      </w:pPr>
      <w:r w:rsidRPr="00742F10">
        <w:rPr>
          <w:rFonts w:eastAsia="Times New Roman"/>
          <w:b/>
          <w:bCs/>
          <w:shd w:val="clear" w:color="auto" w:fill="auto"/>
        </w:rPr>
        <w:t>4.2.2. Left atrial and pulmonary vein dimensions on CT</w:t>
      </w:r>
    </w:p>
    <w:p w:rsidR="00742F10" w:rsidRPr="00742F10" w:rsidRDefault="00742F10" w:rsidP="00742F10">
      <w:pPr>
        <w:spacing w:after="80"/>
        <w:ind w:firstLine="425"/>
        <w:rPr>
          <w:rFonts w:eastAsia="Times New Roman"/>
          <w:shd w:val="clear" w:color="auto" w:fill="auto"/>
        </w:rPr>
      </w:pPr>
      <w:r w:rsidRPr="00742F10">
        <w:rPr>
          <w:rFonts w:eastAsia="Times New Roman"/>
          <w:shd w:val="clear" w:color="auto" w:fill="auto"/>
        </w:rPr>
        <w:t xml:space="preserve">Among the 87 patients who underwent CT, the transverse and </w:t>
      </w:r>
      <w:proofErr w:type="spellStart"/>
      <w:r w:rsidRPr="00742F10">
        <w:rPr>
          <w:rFonts w:eastAsia="Times New Roman"/>
          <w:shd w:val="clear" w:color="auto" w:fill="auto"/>
        </w:rPr>
        <w:t>superoinferior</w:t>
      </w:r>
      <w:proofErr w:type="spellEnd"/>
      <w:r w:rsidRPr="00742F10">
        <w:rPr>
          <w:rFonts w:eastAsia="Times New Roman"/>
          <w:shd w:val="clear" w:color="auto" w:fill="auto"/>
        </w:rPr>
        <w:t xml:space="preserve"> left atrial dimensions were greater than the anteroposterior dimension; the superior pulmonary veins tended to be larger than the ipsilateral inferior pulmonary veins, and the right superior pulmonary vein had the largest diameter. Pulmonary vein diameter did not show a clear correlation with NT-</w:t>
      </w:r>
      <w:proofErr w:type="spellStart"/>
      <w:r w:rsidRPr="00742F10">
        <w:rPr>
          <w:rFonts w:eastAsia="Times New Roman"/>
          <w:shd w:val="clear" w:color="auto" w:fill="auto"/>
        </w:rPr>
        <w:t>proBNP</w:t>
      </w:r>
      <w:proofErr w:type="spellEnd"/>
      <w:r w:rsidRPr="00742F10">
        <w:rPr>
          <w:rFonts w:eastAsia="Times New Roman"/>
          <w:shd w:val="clear" w:color="auto" w:fill="auto"/>
        </w:rPr>
        <w:t>, MMP-2, or OPN, suggesting that this information primarily supports technical PVI planning rather than reflecting the biological substrate of the left atrium.</w:t>
      </w:r>
    </w:p>
    <w:p w:rsidR="00742F10" w:rsidRPr="00742F10" w:rsidRDefault="00742F10" w:rsidP="00742F10">
      <w:pPr>
        <w:keepNext/>
        <w:keepLines/>
        <w:spacing w:before="120" w:after="80"/>
        <w:ind w:firstLine="0"/>
        <w:jc w:val="left"/>
        <w:outlineLvl w:val="2"/>
        <w:rPr>
          <w:rFonts w:eastAsia="MS Gothic"/>
          <w:b/>
          <w:bCs/>
          <w:shd w:val="clear" w:color="auto" w:fill="auto"/>
        </w:rPr>
      </w:pPr>
      <w:r w:rsidRPr="00742F10">
        <w:rPr>
          <w:rFonts w:eastAsia="Times New Roman"/>
          <w:b/>
          <w:bCs/>
          <w:shd w:val="clear" w:color="auto" w:fill="auto"/>
        </w:rPr>
        <w:lastRenderedPageBreak/>
        <w:t>4.2.3. NT-</w:t>
      </w:r>
      <w:proofErr w:type="spellStart"/>
      <w:r w:rsidRPr="00742F10">
        <w:rPr>
          <w:rFonts w:eastAsia="Times New Roman"/>
          <w:b/>
          <w:bCs/>
          <w:shd w:val="clear" w:color="auto" w:fill="auto"/>
        </w:rPr>
        <w:t>proBNP</w:t>
      </w:r>
      <w:proofErr w:type="spellEnd"/>
      <w:r w:rsidRPr="00742F10">
        <w:rPr>
          <w:rFonts w:eastAsia="Times New Roman"/>
          <w:b/>
          <w:bCs/>
          <w:shd w:val="clear" w:color="auto" w:fill="auto"/>
        </w:rPr>
        <w:t xml:space="preserve"> concentrations in the study patients</w:t>
      </w:r>
    </w:p>
    <w:p w:rsidR="00742F10" w:rsidRPr="00742F10" w:rsidRDefault="00742F10" w:rsidP="00742F10">
      <w:pPr>
        <w:spacing w:after="80"/>
        <w:ind w:firstLine="425"/>
        <w:rPr>
          <w:rFonts w:eastAsia="Times New Roman"/>
          <w:shd w:val="clear" w:color="auto" w:fill="auto"/>
        </w:rPr>
      </w:pPr>
      <w:r w:rsidRPr="00742F10">
        <w:rPr>
          <w:rFonts w:eastAsia="Times New Roman"/>
          <w:shd w:val="clear" w:color="auto" w:fill="auto"/>
        </w:rPr>
        <w:t>Mean NT-</w:t>
      </w:r>
      <w:proofErr w:type="spellStart"/>
      <w:r w:rsidRPr="00742F10">
        <w:rPr>
          <w:rFonts w:eastAsia="Times New Roman"/>
          <w:shd w:val="clear" w:color="auto" w:fill="auto"/>
        </w:rPr>
        <w:t>proBNP</w:t>
      </w:r>
      <w:proofErr w:type="spellEnd"/>
      <w:r w:rsidRPr="00742F10">
        <w:rPr>
          <w:rFonts w:eastAsia="Times New Roman"/>
          <w:shd w:val="clear" w:color="auto" w:fill="auto"/>
        </w:rPr>
        <w:t xml:space="preserve"> was 377.21 ± 710.38 </w:t>
      </w:r>
      <w:proofErr w:type="spellStart"/>
      <w:r w:rsidRPr="00742F10">
        <w:rPr>
          <w:rFonts w:eastAsia="Times New Roman"/>
          <w:shd w:val="clear" w:color="auto" w:fill="auto"/>
        </w:rPr>
        <w:t>pg</w:t>
      </w:r>
      <w:proofErr w:type="spellEnd"/>
      <w:r w:rsidRPr="00742F10">
        <w:rPr>
          <w:rFonts w:eastAsia="Times New Roman"/>
          <w:shd w:val="clear" w:color="auto" w:fill="auto"/>
        </w:rPr>
        <w:t xml:space="preserve">/mL; most patients were in the 100-200 </w:t>
      </w:r>
      <w:proofErr w:type="spellStart"/>
      <w:r w:rsidRPr="00742F10">
        <w:rPr>
          <w:rFonts w:eastAsia="Times New Roman"/>
          <w:shd w:val="clear" w:color="auto" w:fill="auto"/>
        </w:rPr>
        <w:t>pg</w:t>
      </w:r>
      <w:proofErr w:type="spellEnd"/>
      <w:r w:rsidRPr="00742F10">
        <w:rPr>
          <w:rFonts w:eastAsia="Times New Roman"/>
          <w:shd w:val="clear" w:color="auto" w:fill="auto"/>
        </w:rPr>
        <w:t>/mL range, but several very high values produced a right-skewed distribution. NT-</w:t>
      </w:r>
      <w:proofErr w:type="spellStart"/>
      <w:r w:rsidRPr="00742F10">
        <w:rPr>
          <w:rFonts w:eastAsia="Times New Roman"/>
          <w:shd w:val="clear" w:color="auto" w:fill="auto"/>
        </w:rPr>
        <w:t>proBNP</w:t>
      </w:r>
      <w:proofErr w:type="spellEnd"/>
      <w:r w:rsidRPr="00742F10">
        <w:rPr>
          <w:rFonts w:eastAsia="Times New Roman"/>
          <w:shd w:val="clear" w:color="auto" w:fill="auto"/>
        </w:rPr>
        <w:t xml:space="preserve"> was markedly higher in the persistent AF group and in the group with left atrial enlargement by LAD, </w:t>
      </w:r>
      <w:proofErr w:type="spellStart"/>
      <w:r w:rsidRPr="00742F10">
        <w:rPr>
          <w:rFonts w:eastAsia="Times New Roman"/>
          <w:shd w:val="clear" w:color="auto" w:fill="auto"/>
        </w:rPr>
        <w:t>LADi</w:t>
      </w:r>
      <w:proofErr w:type="spellEnd"/>
      <w:r w:rsidRPr="00742F10">
        <w:rPr>
          <w:rFonts w:eastAsia="Times New Roman"/>
          <w:shd w:val="clear" w:color="auto" w:fill="auto"/>
        </w:rPr>
        <w:t>, or LA-AP_CT. It showed a moderate positive correlation with left atrial dimensions, supporting its role as a marker of myocardial wall stretch and hemodynamic stress in patients with AF.</w:t>
      </w:r>
    </w:p>
    <w:p w:rsidR="00742F10" w:rsidRPr="00742F10" w:rsidRDefault="00742F10" w:rsidP="00742F10">
      <w:pPr>
        <w:spacing w:after="80"/>
        <w:ind w:firstLine="425"/>
        <w:rPr>
          <w:rFonts w:eastAsia="Times New Roman"/>
          <w:shd w:val="clear" w:color="auto" w:fill="auto"/>
        </w:rPr>
      </w:pPr>
      <w:r w:rsidRPr="00742F10">
        <w:rPr>
          <w:rFonts w:eastAsia="Times New Roman"/>
          <w:shd w:val="clear" w:color="auto" w:fill="auto"/>
        </w:rPr>
        <w:t>Compared with fibrosis markers, NT-</w:t>
      </w:r>
      <w:proofErr w:type="spellStart"/>
      <w:r w:rsidRPr="00742F10">
        <w:rPr>
          <w:rFonts w:eastAsia="Times New Roman"/>
          <w:shd w:val="clear" w:color="auto" w:fill="auto"/>
        </w:rPr>
        <w:t>proBNP</w:t>
      </w:r>
      <w:proofErr w:type="spellEnd"/>
      <w:r w:rsidRPr="00742F10">
        <w:rPr>
          <w:rFonts w:eastAsia="Times New Roman"/>
          <w:shd w:val="clear" w:color="auto" w:fill="auto"/>
        </w:rPr>
        <w:t xml:space="preserve"> had the most stable relationship with left atrial morphology and RFA outcomes in this dissertation. Although the study population included few patients with heart failure with low ejection fraction or severe structural heart disease, NT-</w:t>
      </w:r>
      <w:proofErr w:type="spellStart"/>
      <w:r w:rsidRPr="00742F10">
        <w:rPr>
          <w:rFonts w:eastAsia="Times New Roman"/>
          <w:shd w:val="clear" w:color="auto" w:fill="auto"/>
        </w:rPr>
        <w:t>proBNP</w:t>
      </w:r>
      <w:proofErr w:type="spellEnd"/>
      <w:r w:rsidRPr="00742F10">
        <w:rPr>
          <w:rFonts w:eastAsia="Times New Roman"/>
          <w:shd w:val="clear" w:color="auto" w:fill="auto"/>
        </w:rPr>
        <w:t xml:space="preserve"> still distinguished the atrial enlargement group and the group at risk of recurrence. In interpretation, it should be noted that NT-</w:t>
      </w:r>
      <w:proofErr w:type="spellStart"/>
      <w:r w:rsidRPr="00742F10">
        <w:rPr>
          <w:rFonts w:eastAsia="Times New Roman"/>
          <w:shd w:val="clear" w:color="auto" w:fill="auto"/>
        </w:rPr>
        <w:t>proBNP</w:t>
      </w:r>
      <w:proofErr w:type="spellEnd"/>
      <w:r w:rsidRPr="00742F10">
        <w:rPr>
          <w:rFonts w:eastAsia="Times New Roman"/>
          <w:shd w:val="clear" w:color="auto" w:fill="auto"/>
        </w:rPr>
        <w:t xml:space="preserve"> is influenced by age, renal function, obesity, ventricular rate, and rhythm status at the time of sampling.</w:t>
      </w:r>
    </w:p>
    <w:p w:rsidR="00742F10" w:rsidRPr="00742F10" w:rsidRDefault="00742F10" w:rsidP="00742F10">
      <w:pPr>
        <w:keepNext/>
        <w:keepLines/>
        <w:spacing w:before="120" w:after="80"/>
        <w:ind w:firstLine="0"/>
        <w:jc w:val="left"/>
        <w:outlineLvl w:val="2"/>
        <w:rPr>
          <w:rFonts w:eastAsia="MS Gothic"/>
          <w:b/>
          <w:bCs/>
          <w:shd w:val="clear" w:color="auto" w:fill="auto"/>
        </w:rPr>
      </w:pPr>
      <w:r w:rsidRPr="00742F10">
        <w:rPr>
          <w:rFonts w:eastAsia="Times New Roman"/>
          <w:b/>
          <w:bCs/>
          <w:shd w:val="clear" w:color="auto" w:fill="auto"/>
        </w:rPr>
        <w:t>4.2.4. MMP-2 concentrations in the study patients</w:t>
      </w:r>
    </w:p>
    <w:p w:rsidR="00742F10" w:rsidRPr="00742F10" w:rsidRDefault="00742F10" w:rsidP="00742F10">
      <w:pPr>
        <w:spacing w:after="80"/>
        <w:ind w:firstLine="425"/>
        <w:rPr>
          <w:rFonts w:eastAsia="Times New Roman"/>
          <w:shd w:val="clear" w:color="auto" w:fill="auto"/>
        </w:rPr>
      </w:pPr>
      <w:r w:rsidRPr="00742F10">
        <w:rPr>
          <w:rFonts w:eastAsia="Times New Roman"/>
          <w:shd w:val="clear" w:color="auto" w:fill="auto"/>
        </w:rPr>
        <w:t xml:space="preserve">Mean plasma MMP-2 was 151.24 ± 37.70 ng/mL, higher than in the control group, and showed weak positive correlations with LAD and </w:t>
      </w:r>
      <w:proofErr w:type="spellStart"/>
      <w:r w:rsidRPr="00742F10">
        <w:rPr>
          <w:rFonts w:eastAsia="Times New Roman"/>
          <w:shd w:val="clear" w:color="auto" w:fill="auto"/>
        </w:rPr>
        <w:t>LADi</w:t>
      </w:r>
      <w:proofErr w:type="spellEnd"/>
      <w:r w:rsidRPr="00742F10">
        <w:rPr>
          <w:rFonts w:eastAsia="Times New Roman"/>
          <w:shd w:val="clear" w:color="auto" w:fill="auto"/>
        </w:rPr>
        <w:t xml:space="preserve">. MMP-2 concentrations were significantly higher in the </w:t>
      </w:r>
      <w:proofErr w:type="spellStart"/>
      <w:r w:rsidRPr="00742F10">
        <w:rPr>
          <w:rFonts w:eastAsia="Times New Roman"/>
          <w:shd w:val="clear" w:color="auto" w:fill="auto"/>
        </w:rPr>
        <w:t>LADi</w:t>
      </w:r>
      <w:proofErr w:type="spellEnd"/>
      <w:r w:rsidRPr="00742F10">
        <w:rPr>
          <w:rFonts w:eastAsia="Times New Roman"/>
          <w:shd w:val="clear" w:color="auto" w:fill="auto"/>
        </w:rPr>
        <w:t xml:space="preserve"> ≥ 22 mm/m² group, reinforcing the role of extracellular-matrix remodeling in atrial cardiomyopathy. MMP-2 also tended to be higher in persistent AF but did not reach statistical significance.</w:t>
      </w:r>
    </w:p>
    <w:p w:rsidR="00742F10" w:rsidRPr="00742F10" w:rsidRDefault="00742F10" w:rsidP="00742F10">
      <w:pPr>
        <w:spacing w:after="80"/>
        <w:ind w:firstLine="425"/>
        <w:rPr>
          <w:rFonts w:eastAsia="Times New Roman"/>
          <w:shd w:val="clear" w:color="auto" w:fill="auto"/>
        </w:rPr>
      </w:pPr>
      <w:r w:rsidRPr="00742F10">
        <w:rPr>
          <w:rFonts w:eastAsia="Times New Roman"/>
          <w:shd w:val="clear" w:color="auto" w:fill="auto"/>
        </w:rPr>
        <w:t>The magnitude of the association for MMP-2 in this study was not as strong as that for NT-</w:t>
      </w:r>
      <w:proofErr w:type="spellStart"/>
      <w:r w:rsidRPr="00742F10">
        <w:rPr>
          <w:rFonts w:eastAsia="Times New Roman"/>
          <w:shd w:val="clear" w:color="auto" w:fill="auto"/>
        </w:rPr>
        <w:t>proBNP</w:t>
      </w:r>
      <w:proofErr w:type="spellEnd"/>
      <w:r w:rsidRPr="00742F10">
        <w:rPr>
          <w:rFonts w:eastAsia="Times New Roman"/>
          <w:shd w:val="clear" w:color="auto" w:fill="auto"/>
        </w:rPr>
        <w:t xml:space="preserve">, consistent with the nature of MMP-2 as a histological and matrix-related marker influenced by age, vascular disease, kidney disease, inflammation, and medications. The higher MMP-2 level compared with controls has descriptive pathophysiological significance, but because the control group was not </w:t>
      </w:r>
      <w:r w:rsidRPr="00742F10">
        <w:rPr>
          <w:rFonts w:eastAsia="Times New Roman"/>
          <w:shd w:val="clear" w:color="auto" w:fill="auto"/>
        </w:rPr>
        <w:lastRenderedPageBreak/>
        <w:t>fully matched, it should not be interpreted as causal evidence or as support for an independent clinical testing indication.</w:t>
      </w:r>
    </w:p>
    <w:p w:rsidR="00742F10" w:rsidRPr="00742F10" w:rsidRDefault="00742F10" w:rsidP="00742F10">
      <w:pPr>
        <w:keepNext/>
        <w:keepLines/>
        <w:spacing w:before="120" w:after="80"/>
        <w:ind w:firstLine="0"/>
        <w:jc w:val="left"/>
        <w:outlineLvl w:val="2"/>
        <w:rPr>
          <w:rFonts w:eastAsia="MS Gothic"/>
          <w:b/>
          <w:bCs/>
          <w:shd w:val="clear" w:color="auto" w:fill="auto"/>
        </w:rPr>
      </w:pPr>
      <w:r w:rsidRPr="00742F10">
        <w:rPr>
          <w:rFonts w:eastAsia="Times New Roman"/>
          <w:b/>
          <w:bCs/>
          <w:shd w:val="clear" w:color="auto" w:fill="auto"/>
        </w:rPr>
        <w:t>4.2.5. OPN concentrations in the study patients</w:t>
      </w:r>
    </w:p>
    <w:p w:rsidR="00742F10" w:rsidRPr="00742F10" w:rsidRDefault="00742F10" w:rsidP="00742F10">
      <w:pPr>
        <w:spacing w:after="80"/>
        <w:ind w:firstLine="425"/>
        <w:rPr>
          <w:rFonts w:eastAsia="Times New Roman"/>
          <w:shd w:val="clear" w:color="auto" w:fill="auto"/>
        </w:rPr>
      </w:pPr>
      <w:r w:rsidRPr="00742F10">
        <w:rPr>
          <w:rFonts w:eastAsia="Times New Roman"/>
          <w:shd w:val="clear" w:color="auto" w:fill="auto"/>
        </w:rPr>
        <w:t xml:space="preserve">Mean OPN was 35.61 ± 13.90 ng/mL, clearly higher than in the control group. OPN tended to increase in persistent AF and in patients with left atrial enlargement, and correlated weakly with </w:t>
      </w:r>
      <w:proofErr w:type="spellStart"/>
      <w:r w:rsidRPr="00742F10">
        <w:rPr>
          <w:rFonts w:eastAsia="Times New Roman"/>
          <w:shd w:val="clear" w:color="auto" w:fill="auto"/>
        </w:rPr>
        <w:t>LADi</w:t>
      </w:r>
      <w:proofErr w:type="spellEnd"/>
      <w:r w:rsidRPr="00742F10">
        <w:rPr>
          <w:rFonts w:eastAsia="Times New Roman"/>
          <w:shd w:val="clear" w:color="auto" w:fill="auto"/>
        </w:rPr>
        <w:t xml:space="preserve"> and LA-AP_CT. These findings are consistent with the role of OPN as a marker of inflammation-fibrosis, fibroblast activation, and immune-stromal interaction, although the strength of association was weaker than that of NT-</w:t>
      </w:r>
      <w:proofErr w:type="spellStart"/>
      <w:r w:rsidRPr="00742F10">
        <w:rPr>
          <w:rFonts w:eastAsia="Times New Roman"/>
          <w:shd w:val="clear" w:color="auto" w:fill="auto"/>
        </w:rPr>
        <w:t>proBNP</w:t>
      </w:r>
      <w:proofErr w:type="spellEnd"/>
      <w:r w:rsidRPr="00742F10">
        <w:rPr>
          <w:rFonts w:eastAsia="Times New Roman"/>
          <w:shd w:val="clear" w:color="auto" w:fill="auto"/>
        </w:rPr>
        <w:t>.</w:t>
      </w:r>
    </w:p>
    <w:p w:rsidR="00742F10" w:rsidRPr="00742F10" w:rsidRDefault="00742F10" w:rsidP="00742F10">
      <w:pPr>
        <w:keepNext/>
        <w:keepLines/>
        <w:spacing w:before="120" w:after="80"/>
        <w:ind w:firstLine="0"/>
        <w:jc w:val="left"/>
        <w:outlineLvl w:val="2"/>
        <w:rPr>
          <w:rFonts w:eastAsia="MS Gothic"/>
          <w:b/>
          <w:bCs/>
          <w:shd w:val="clear" w:color="auto" w:fill="auto"/>
        </w:rPr>
      </w:pPr>
      <w:r w:rsidRPr="00742F10">
        <w:rPr>
          <w:rFonts w:eastAsia="Times New Roman"/>
          <w:b/>
          <w:bCs/>
          <w:shd w:val="clear" w:color="auto" w:fill="auto"/>
        </w:rPr>
        <w:t>4.2.6. Associations among left atrial morphology, biomarkers, and clinical characteristics</w:t>
      </w:r>
    </w:p>
    <w:p w:rsidR="00742F10" w:rsidRPr="00742F10" w:rsidRDefault="00742F10" w:rsidP="00742F10">
      <w:pPr>
        <w:spacing w:after="80"/>
        <w:ind w:firstLine="425"/>
        <w:rPr>
          <w:rFonts w:eastAsia="Times New Roman"/>
          <w:shd w:val="clear" w:color="auto" w:fill="auto"/>
        </w:rPr>
      </w:pPr>
      <w:r w:rsidRPr="00742F10">
        <w:rPr>
          <w:rFonts w:eastAsia="Times New Roman"/>
          <w:shd w:val="clear" w:color="auto" w:fill="auto"/>
        </w:rPr>
        <w:t xml:space="preserve">Taken together, the analyses indicate that </w:t>
      </w:r>
      <w:proofErr w:type="spellStart"/>
      <w:r w:rsidRPr="00742F10">
        <w:rPr>
          <w:rFonts w:eastAsia="Times New Roman"/>
          <w:shd w:val="clear" w:color="auto" w:fill="auto"/>
        </w:rPr>
        <w:t>LADi</w:t>
      </w:r>
      <w:proofErr w:type="spellEnd"/>
      <w:r w:rsidRPr="00742F10">
        <w:rPr>
          <w:rFonts w:eastAsia="Times New Roman"/>
          <w:shd w:val="clear" w:color="auto" w:fill="auto"/>
        </w:rPr>
        <w:t xml:space="preserve"> was more informative than LAD alone in reflecting the atrial substrate in this study population. NT-</w:t>
      </w:r>
      <w:proofErr w:type="spellStart"/>
      <w:r w:rsidRPr="00742F10">
        <w:rPr>
          <w:rFonts w:eastAsia="Times New Roman"/>
          <w:shd w:val="clear" w:color="auto" w:fill="auto"/>
        </w:rPr>
        <w:t>proBNP</w:t>
      </w:r>
      <w:proofErr w:type="spellEnd"/>
      <w:r w:rsidRPr="00742F10">
        <w:rPr>
          <w:rFonts w:eastAsia="Times New Roman"/>
          <w:shd w:val="clear" w:color="auto" w:fill="auto"/>
        </w:rPr>
        <w:t xml:space="preserve"> was the biomarker with the best ability to discriminate left atrial enlargement, with cut-off values of 221 </w:t>
      </w:r>
      <w:proofErr w:type="spellStart"/>
      <w:r w:rsidRPr="00742F10">
        <w:rPr>
          <w:rFonts w:eastAsia="Times New Roman"/>
          <w:shd w:val="clear" w:color="auto" w:fill="auto"/>
        </w:rPr>
        <w:t>pg</w:t>
      </w:r>
      <w:proofErr w:type="spellEnd"/>
      <w:r w:rsidRPr="00742F10">
        <w:rPr>
          <w:rFonts w:eastAsia="Times New Roman"/>
          <w:shd w:val="clear" w:color="auto" w:fill="auto"/>
        </w:rPr>
        <w:t xml:space="preserve">/mL for LAD ≥ 40 mm and 240 </w:t>
      </w:r>
      <w:proofErr w:type="spellStart"/>
      <w:r w:rsidRPr="00742F10">
        <w:rPr>
          <w:rFonts w:eastAsia="Times New Roman"/>
          <w:shd w:val="clear" w:color="auto" w:fill="auto"/>
        </w:rPr>
        <w:t>pg</w:t>
      </w:r>
      <w:proofErr w:type="spellEnd"/>
      <w:r w:rsidRPr="00742F10">
        <w:rPr>
          <w:rFonts w:eastAsia="Times New Roman"/>
          <w:shd w:val="clear" w:color="auto" w:fill="auto"/>
        </w:rPr>
        <w:t xml:space="preserve">/mL for </w:t>
      </w:r>
      <w:proofErr w:type="spellStart"/>
      <w:r w:rsidRPr="00742F10">
        <w:rPr>
          <w:rFonts w:eastAsia="Times New Roman"/>
          <w:shd w:val="clear" w:color="auto" w:fill="auto"/>
        </w:rPr>
        <w:t>LADi</w:t>
      </w:r>
      <w:proofErr w:type="spellEnd"/>
      <w:r w:rsidRPr="00742F10">
        <w:rPr>
          <w:rFonts w:eastAsia="Times New Roman"/>
          <w:shd w:val="clear" w:color="auto" w:fill="auto"/>
        </w:rPr>
        <w:t xml:space="preserve"> ≥ 22 mm/m². MMP-2 and OPN added information on remodeling and inflammation-fibrosis, but they cannot replace echocardiography or CT.</w:t>
      </w:r>
    </w:p>
    <w:p w:rsidR="00742F10" w:rsidRPr="00742F10" w:rsidRDefault="00742F10" w:rsidP="00742F10">
      <w:pPr>
        <w:keepNext/>
        <w:keepLines/>
        <w:spacing w:before="120" w:after="80"/>
        <w:ind w:firstLine="0"/>
        <w:jc w:val="left"/>
        <w:outlineLvl w:val="1"/>
        <w:rPr>
          <w:rFonts w:eastAsia="MS Gothic"/>
          <w:b/>
          <w:bCs/>
          <w:shd w:val="clear" w:color="auto" w:fill="auto"/>
        </w:rPr>
      </w:pPr>
      <w:r w:rsidRPr="00742F10">
        <w:rPr>
          <w:rFonts w:eastAsia="Times New Roman"/>
          <w:b/>
          <w:bCs/>
          <w:shd w:val="clear" w:color="auto" w:fill="auto"/>
        </w:rPr>
        <w:t>4.3. Outcomes of RFA for atrial fibrillation and associations with left atrial morphology and MMP-2, OPN, and NT-</w:t>
      </w:r>
      <w:proofErr w:type="spellStart"/>
      <w:r w:rsidRPr="00742F10">
        <w:rPr>
          <w:rFonts w:eastAsia="Times New Roman"/>
          <w:b/>
          <w:bCs/>
          <w:shd w:val="clear" w:color="auto" w:fill="auto"/>
        </w:rPr>
        <w:t>proBNP</w:t>
      </w:r>
      <w:proofErr w:type="spellEnd"/>
      <w:r w:rsidRPr="00742F10">
        <w:rPr>
          <w:rFonts w:eastAsia="Times New Roman"/>
          <w:b/>
          <w:bCs/>
          <w:shd w:val="clear" w:color="auto" w:fill="auto"/>
        </w:rPr>
        <w:t xml:space="preserve"> concentrations</w:t>
      </w:r>
    </w:p>
    <w:p w:rsidR="00742F10" w:rsidRPr="00742F10" w:rsidRDefault="00742F10" w:rsidP="00742F10">
      <w:pPr>
        <w:keepNext/>
        <w:keepLines/>
        <w:spacing w:before="120" w:after="80"/>
        <w:ind w:firstLine="0"/>
        <w:jc w:val="left"/>
        <w:outlineLvl w:val="2"/>
        <w:rPr>
          <w:rFonts w:eastAsia="MS Gothic"/>
          <w:b/>
          <w:bCs/>
          <w:shd w:val="clear" w:color="auto" w:fill="auto"/>
        </w:rPr>
      </w:pPr>
      <w:r w:rsidRPr="00742F10">
        <w:rPr>
          <w:rFonts w:eastAsia="Times New Roman"/>
          <w:b/>
          <w:bCs/>
          <w:shd w:val="clear" w:color="auto" w:fill="auto"/>
        </w:rPr>
        <w:t>4.3.1. RFA outcomes at 3-month follow-up</w:t>
      </w:r>
    </w:p>
    <w:p w:rsidR="00742F10" w:rsidRPr="00742F10" w:rsidRDefault="00742F10" w:rsidP="00742F10">
      <w:pPr>
        <w:spacing w:after="80"/>
        <w:ind w:firstLine="425"/>
        <w:rPr>
          <w:rFonts w:eastAsia="Times New Roman"/>
          <w:shd w:val="clear" w:color="auto" w:fill="auto"/>
        </w:rPr>
      </w:pPr>
      <w:r w:rsidRPr="00742F10">
        <w:rPr>
          <w:rFonts w:eastAsia="Times New Roman"/>
          <w:shd w:val="clear" w:color="auto" w:fill="auto"/>
        </w:rPr>
        <w:t>At 3 months, the overall sinus rhythm maintenance rate was 77.78%; it was 89.47% in paroxysmal AF and 50.00% in persistent AF. The 3-month time point falls within the blanking period; therefore, early recurrence should not be interpreted simply as long-term failure. However, early recurrence remains a signal requiring close monitoring because it may be associated with late recurrence risk.</w:t>
      </w:r>
    </w:p>
    <w:p w:rsidR="00742F10" w:rsidRPr="00742F10" w:rsidRDefault="00742F10" w:rsidP="00742F10">
      <w:pPr>
        <w:spacing w:after="80"/>
        <w:ind w:firstLine="425"/>
        <w:rPr>
          <w:rFonts w:eastAsia="Times New Roman"/>
          <w:shd w:val="clear" w:color="auto" w:fill="auto"/>
        </w:rPr>
      </w:pPr>
      <w:r w:rsidRPr="00742F10">
        <w:rPr>
          <w:rFonts w:eastAsia="Times New Roman"/>
          <w:shd w:val="clear" w:color="auto" w:fill="auto"/>
        </w:rPr>
        <w:lastRenderedPageBreak/>
        <w:t>The sinus rhythm maintenance rate in the paroxysmal AF group was high, consistent with the foundational role of PVI in paroxysmal AF. In persistent AF, the lower rate reflects a more advanced atrial substrate, with possible fibrosis or non-pulmonary-vein triggers. The use of stand-alone PVI in this study made the technical results homogeneous, but it is also a limitation when comparing with additional ablation strategies in persistent AF.</w:t>
      </w:r>
    </w:p>
    <w:p w:rsidR="00742F10" w:rsidRPr="00742F10" w:rsidRDefault="00742F10" w:rsidP="00742F10">
      <w:pPr>
        <w:keepNext/>
        <w:keepLines/>
        <w:spacing w:before="120" w:after="80"/>
        <w:ind w:firstLine="0"/>
        <w:jc w:val="left"/>
        <w:outlineLvl w:val="2"/>
        <w:rPr>
          <w:rFonts w:eastAsia="MS Gothic"/>
          <w:b/>
          <w:bCs/>
          <w:shd w:val="clear" w:color="auto" w:fill="auto"/>
        </w:rPr>
      </w:pPr>
      <w:r w:rsidRPr="00742F10">
        <w:rPr>
          <w:rFonts w:eastAsia="Times New Roman"/>
          <w:b/>
          <w:bCs/>
          <w:shd w:val="clear" w:color="auto" w:fill="auto"/>
        </w:rPr>
        <w:t>4.3.2. RFA outcomes at 6-month follow-up</w:t>
      </w:r>
    </w:p>
    <w:p w:rsidR="00742F10" w:rsidRPr="00742F10" w:rsidRDefault="00742F10" w:rsidP="00742F10">
      <w:pPr>
        <w:spacing w:after="80"/>
        <w:ind w:firstLine="425"/>
        <w:rPr>
          <w:rFonts w:eastAsia="Times New Roman"/>
          <w:shd w:val="clear" w:color="auto" w:fill="auto"/>
        </w:rPr>
      </w:pPr>
      <w:r w:rsidRPr="00742F10">
        <w:rPr>
          <w:rFonts w:eastAsia="Times New Roman"/>
          <w:shd w:val="clear" w:color="auto" w:fill="auto"/>
        </w:rPr>
        <w:t xml:space="preserve">After 6 months, the overall sinus rhythm maintenance rate was 75.93%; paroxysmal AF remained at 89.47%, whereas persistent AF decreased to 43.75%. These findings show that the efficacy after a single RFA procedure depends strongly on AF phenotype and the extent of the left atrial substrate. It should be noted that routine ECG and 24-hour </w:t>
      </w:r>
      <w:proofErr w:type="spellStart"/>
      <w:r w:rsidRPr="00742F10">
        <w:rPr>
          <w:rFonts w:eastAsia="Times New Roman"/>
          <w:shd w:val="clear" w:color="auto" w:fill="auto"/>
        </w:rPr>
        <w:t>Holter</w:t>
      </w:r>
      <w:proofErr w:type="spellEnd"/>
      <w:r w:rsidRPr="00742F10">
        <w:rPr>
          <w:rFonts w:eastAsia="Times New Roman"/>
          <w:shd w:val="clear" w:color="auto" w:fill="auto"/>
        </w:rPr>
        <w:t xml:space="preserve"> monitoring may miss asymptomatic AF episodes or episodes occurring outside the recording period.</w:t>
      </w:r>
    </w:p>
    <w:p w:rsidR="00742F10" w:rsidRPr="00742F10" w:rsidRDefault="00742F10" w:rsidP="00742F10">
      <w:pPr>
        <w:keepNext/>
        <w:keepLines/>
        <w:spacing w:before="120" w:after="80"/>
        <w:ind w:firstLine="0"/>
        <w:jc w:val="left"/>
        <w:outlineLvl w:val="2"/>
        <w:rPr>
          <w:rFonts w:eastAsia="MS Gothic"/>
          <w:b/>
          <w:bCs/>
          <w:shd w:val="clear" w:color="auto" w:fill="auto"/>
        </w:rPr>
      </w:pPr>
      <w:r w:rsidRPr="00742F10">
        <w:rPr>
          <w:rFonts w:eastAsia="Times New Roman"/>
          <w:b/>
          <w:bCs/>
          <w:shd w:val="clear" w:color="auto" w:fill="auto"/>
        </w:rPr>
        <w:t>4.3.3. Changes in symptoms after RFA</w:t>
      </w:r>
    </w:p>
    <w:p w:rsidR="00742F10" w:rsidRPr="00742F10" w:rsidRDefault="00742F10" w:rsidP="00742F10">
      <w:pPr>
        <w:spacing w:after="80"/>
        <w:ind w:firstLine="425"/>
        <w:rPr>
          <w:rFonts w:eastAsia="Times New Roman"/>
          <w:shd w:val="clear" w:color="auto" w:fill="auto"/>
        </w:rPr>
      </w:pPr>
      <w:r w:rsidRPr="00742F10">
        <w:rPr>
          <w:rFonts w:eastAsia="Times New Roman"/>
          <w:shd w:val="clear" w:color="auto" w:fill="auto"/>
        </w:rPr>
        <w:t>After ablation, symptoms improved markedly; most patients shifted to EHRA 1 or 2a at the 3-month and 6-month time points. Symptom improvement paralleled sinus rhythm maintenance, reinforcing the clinical effectiveness of RFA. Even in some patients with recurrence, reduction in AF burden may still contribute to improved quality of life.</w:t>
      </w:r>
    </w:p>
    <w:p w:rsidR="00742F10" w:rsidRPr="00742F10" w:rsidRDefault="00742F10" w:rsidP="00742F10">
      <w:pPr>
        <w:keepNext/>
        <w:keepLines/>
        <w:spacing w:before="120" w:after="80"/>
        <w:ind w:firstLine="0"/>
        <w:jc w:val="left"/>
        <w:outlineLvl w:val="2"/>
        <w:rPr>
          <w:rFonts w:eastAsia="MS Gothic"/>
          <w:b/>
          <w:bCs/>
          <w:shd w:val="clear" w:color="auto" w:fill="auto"/>
        </w:rPr>
      </w:pPr>
      <w:r w:rsidRPr="00742F10">
        <w:rPr>
          <w:rFonts w:eastAsia="Times New Roman"/>
          <w:b/>
          <w:bCs/>
          <w:shd w:val="clear" w:color="auto" w:fill="auto"/>
        </w:rPr>
        <w:t>4.3.4. Complication rate of RFA for atrial fibrillation</w:t>
      </w:r>
    </w:p>
    <w:p w:rsidR="00742F10" w:rsidRPr="00742F10" w:rsidRDefault="00742F10" w:rsidP="00742F10">
      <w:pPr>
        <w:spacing w:after="80"/>
        <w:ind w:firstLine="425"/>
        <w:rPr>
          <w:rFonts w:eastAsia="Times New Roman"/>
          <w:shd w:val="clear" w:color="auto" w:fill="auto"/>
        </w:rPr>
      </w:pPr>
      <w:r w:rsidRPr="00742F10">
        <w:rPr>
          <w:rFonts w:eastAsia="Times New Roman"/>
          <w:shd w:val="clear" w:color="auto" w:fill="auto"/>
        </w:rPr>
        <w:t xml:space="preserve">The early complication rate was low and complications were mostly mild: vascular-access hematoma, mild </w:t>
      </w:r>
      <w:proofErr w:type="spellStart"/>
      <w:r w:rsidRPr="00742F10">
        <w:rPr>
          <w:rFonts w:eastAsia="Times New Roman"/>
          <w:shd w:val="clear" w:color="auto" w:fill="auto"/>
        </w:rPr>
        <w:t>hemopericardium</w:t>
      </w:r>
      <w:proofErr w:type="spellEnd"/>
      <w:r w:rsidRPr="00742F10">
        <w:rPr>
          <w:rFonts w:eastAsia="Times New Roman"/>
          <w:shd w:val="clear" w:color="auto" w:fill="auto"/>
        </w:rPr>
        <w:t xml:space="preserve">, and one femoral arteriovenous fistula that was managed stably. No deaths, atrioventricular block, phrenic nerve injury, or </w:t>
      </w:r>
      <w:proofErr w:type="spellStart"/>
      <w:r w:rsidRPr="00742F10">
        <w:rPr>
          <w:rFonts w:eastAsia="Times New Roman"/>
          <w:shd w:val="clear" w:color="auto" w:fill="auto"/>
        </w:rPr>
        <w:t>atrioesophageal</w:t>
      </w:r>
      <w:proofErr w:type="spellEnd"/>
      <w:r w:rsidRPr="00742F10">
        <w:rPr>
          <w:rFonts w:eastAsia="Times New Roman"/>
          <w:shd w:val="clear" w:color="auto" w:fill="auto"/>
        </w:rPr>
        <w:t xml:space="preserve"> fistula were recorded. The findings indicate that RFA/PVI can be performed safely when patient selection, anticoagulation, and procedural monitoring are standardized.</w:t>
      </w:r>
    </w:p>
    <w:p w:rsidR="00742F10" w:rsidRPr="00742F10" w:rsidRDefault="00742F10" w:rsidP="00742F10">
      <w:pPr>
        <w:keepNext/>
        <w:keepLines/>
        <w:spacing w:before="120" w:after="80"/>
        <w:ind w:firstLine="0"/>
        <w:jc w:val="left"/>
        <w:outlineLvl w:val="2"/>
        <w:rPr>
          <w:rFonts w:eastAsia="MS Gothic"/>
          <w:b/>
          <w:bCs/>
          <w:shd w:val="clear" w:color="auto" w:fill="auto"/>
        </w:rPr>
      </w:pPr>
      <w:r w:rsidRPr="00742F10">
        <w:rPr>
          <w:rFonts w:eastAsia="Times New Roman"/>
          <w:b/>
          <w:bCs/>
          <w:shd w:val="clear" w:color="auto" w:fill="auto"/>
        </w:rPr>
        <w:lastRenderedPageBreak/>
        <w:t>4.3.5. Association between RFA outcomes and left atrial morphology</w:t>
      </w:r>
    </w:p>
    <w:p w:rsidR="00742F10" w:rsidRPr="00742F10" w:rsidRDefault="00742F10" w:rsidP="00742F10">
      <w:pPr>
        <w:spacing w:after="80"/>
        <w:ind w:firstLine="425"/>
        <w:rPr>
          <w:rFonts w:eastAsia="Times New Roman"/>
          <w:shd w:val="clear" w:color="auto" w:fill="auto"/>
        </w:rPr>
      </w:pPr>
      <w:r w:rsidRPr="00742F10">
        <w:rPr>
          <w:rFonts w:eastAsia="Times New Roman"/>
          <w:shd w:val="clear" w:color="auto" w:fill="auto"/>
        </w:rPr>
        <w:t xml:space="preserve">Patients with recurrence after RFA had significantly larger LAD and </w:t>
      </w:r>
      <w:proofErr w:type="spellStart"/>
      <w:r w:rsidRPr="00742F10">
        <w:rPr>
          <w:rFonts w:eastAsia="Times New Roman"/>
          <w:shd w:val="clear" w:color="auto" w:fill="auto"/>
        </w:rPr>
        <w:t>LADi</w:t>
      </w:r>
      <w:proofErr w:type="spellEnd"/>
      <w:r w:rsidRPr="00742F10">
        <w:rPr>
          <w:rFonts w:eastAsia="Times New Roman"/>
          <w:shd w:val="clear" w:color="auto" w:fill="auto"/>
        </w:rPr>
        <w:t xml:space="preserve"> at both 3 and 6 months. In ROC analysis, a LAD cut-off of 38.5 mm and a </w:t>
      </w:r>
      <w:proofErr w:type="spellStart"/>
      <w:r w:rsidRPr="00742F10">
        <w:rPr>
          <w:rFonts w:eastAsia="Times New Roman"/>
          <w:shd w:val="clear" w:color="auto" w:fill="auto"/>
        </w:rPr>
        <w:t>LADi</w:t>
      </w:r>
      <w:proofErr w:type="spellEnd"/>
      <w:r w:rsidRPr="00742F10">
        <w:rPr>
          <w:rFonts w:eastAsia="Times New Roman"/>
          <w:shd w:val="clear" w:color="auto" w:fill="auto"/>
        </w:rPr>
        <w:t xml:space="preserve"> cut-off of 23.5 mm/m² had good prognostic value; </w:t>
      </w:r>
      <w:proofErr w:type="spellStart"/>
      <w:r w:rsidRPr="00742F10">
        <w:rPr>
          <w:rFonts w:eastAsia="Times New Roman"/>
          <w:shd w:val="clear" w:color="auto" w:fill="auto"/>
        </w:rPr>
        <w:t>LADi</w:t>
      </w:r>
      <w:proofErr w:type="spellEnd"/>
      <w:r w:rsidRPr="00742F10">
        <w:rPr>
          <w:rFonts w:eastAsia="Times New Roman"/>
          <w:shd w:val="clear" w:color="auto" w:fill="auto"/>
        </w:rPr>
        <w:t xml:space="preserve"> alone achieved an AUC of 0.835 at 3 months and 0.810 at 6 months. When persistent AF was combined with </w:t>
      </w:r>
      <w:proofErr w:type="spellStart"/>
      <w:r w:rsidRPr="00742F10">
        <w:rPr>
          <w:rFonts w:eastAsia="Times New Roman"/>
          <w:shd w:val="clear" w:color="auto" w:fill="auto"/>
        </w:rPr>
        <w:t>LADi</w:t>
      </w:r>
      <w:proofErr w:type="spellEnd"/>
      <w:r w:rsidRPr="00742F10">
        <w:rPr>
          <w:rFonts w:eastAsia="Times New Roman"/>
          <w:shd w:val="clear" w:color="auto" w:fill="auto"/>
        </w:rPr>
        <w:t>, the AUC increased to 0.881-0.877, indicating that left atrial morphology is a key component of pre-procedural risk stratification.</w:t>
      </w:r>
    </w:p>
    <w:p w:rsidR="00742F10" w:rsidRPr="00742F10" w:rsidRDefault="00742F10" w:rsidP="00742F10">
      <w:pPr>
        <w:spacing w:after="80"/>
        <w:ind w:firstLine="425"/>
        <w:rPr>
          <w:rFonts w:eastAsia="Times New Roman"/>
          <w:shd w:val="clear" w:color="auto" w:fill="auto"/>
        </w:rPr>
      </w:pPr>
      <w:r w:rsidRPr="00742F10">
        <w:rPr>
          <w:rFonts w:eastAsia="Times New Roman"/>
          <w:shd w:val="clear" w:color="auto" w:fill="auto"/>
        </w:rPr>
        <w:t xml:space="preserve">The practical significance of </w:t>
      </w:r>
      <w:proofErr w:type="spellStart"/>
      <w:r w:rsidRPr="00742F10">
        <w:rPr>
          <w:rFonts w:eastAsia="Times New Roman"/>
          <w:shd w:val="clear" w:color="auto" w:fill="auto"/>
        </w:rPr>
        <w:t>LADi</w:t>
      </w:r>
      <w:proofErr w:type="spellEnd"/>
      <w:r w:rsidRPr="00742F10">
        <w:rPr>
          <w:rFonts w:eastAsia="Times New Roman"/>
          <w:shd w:val="clear" w:color="auto" w:fill="auto"/>
        </w:rPr>
        <w:t xml:space="preserve"> lies in its simplicity, availability, and suitability for populations with different body habitus. In settings where LAVI, left atrial strain, fibrosis MRI, or low-voltage mapping is not widely available, </w:t>
      </w:r>
      <w:proofErr w:type="spellStart"/>
      <w:r w:rsidRPr="00742F10">
        <w:rPr>
          <w:rFonts w:eastAsia="Times New Roman"/>
          <w:shd w:val="clear" w:color="auto" w:fill="auto"/>
        </w:rPr>
        <w:t>LADi</w:t>
      </w:r>
      <w:proofErr w:type="spellEnd"/>
      <w:r w:rsidRPr="00742F10">
        <w:rPr>
          <w:rFonts w:eastAsia="Times New Roman"/>
          <w:shd w:val="clear" w:color="auto" w:fill="auto"/>
        </w:rPr>
        <w:t xml:space="preserve"> may be a feasible surrogate index for identifying high-risk groups. However, </w:t>
      </w:r>
      <w:proofErr w:type="spellStart"/>
      <w:r w:rsidRPr="00742F10">
        <w:rPr>
          <w:rFonts w:eastAsia="Times New Roman"/>
          <w:shd w:val="clear" w:color="auto" w:fill="auto"/>
        </w:rPr>
        <w:t>LADi</w:t>
      </w:r>
      <w:proofErr w:type="spellEnd"/>
      <w:r w:rsidRPr="00742F10">
        <w:rPr>
          <w:rFonts w:eastAsia="Times New Roman"/>
          <w:shd w:val="clear" w:color="auto" w:fill="auto"/>
        </w:rPr>
        <w:t xml:space="preserve"> should not be considered a comprehensive measure of atrial cardiomyopathy.</w:t>
      </w:r>
    </w:p>
    <w:p w:rsidR="00742F10" w:rsidRPr="00742F10" w:rsidRDefault="00742F10" w:rsidP="00742F10">
      <w:pPr>
        <w:keepNext/>
        <w:keepLines/>
        <w:spacing w:before="120" w:after="80"/>
        <w:ind w:firstLine="0"/>
        <w:jc w:val="left"/>
        <w:outlineLvl w:val="2"/>
        <w:rPr>
          <w:rFonts w:eastAsia="MS Gothic"/>
          <w:b/>
          <w:bCs/>
          <w:shd w:val="clear" w:color="auto" w:fill="auto"/>
        </w:rPr>
      </w:pPr>
      <w:r w:rsidRPr="00742F10">
        <w:rPr>
          <w:rFonts w:eastAsia="Times New Roman"/>
          <w:b/>
          <w:bCs/>
          <w:shd w:val="clear" w:color="auto" w:fill="auto"/>
        </w:rPr>
        <w:t>4.3.6. Association between NT-</w:t>
      </w:r>
      <w:proofErr w:type="spellStart"/>
      <w:r w:rsidRPr="00742F10">
        <w:rPr>
          <w:rFonts w:eastAsia="Times New Roman"/>
          <w:b/>
          <w:bCs/>
          <w:shd w:val="clear" w:color="auto" w:fill="auto"/>
        </w:rPr>
        <w:t>proBNP</w:t>
      </w:r>
      <w:proofErr w:type="spellEnd"/>
      <w:r w:rsidRPr="00742F10">
        <w:rPr>
          <w:rFonts w:eastAsia="Times New Roman"/>
          <w:b/>
          <w:bCs/>
          <w:shd w:val="clear" w:color="auto" w:fill="auto"/>
        </w:rPr>
        <w:t xml:space="preserve"> concentration and RFA outcomes</w:t>
      </w:r>
    </w:p>
    <w:p w:rsidR="00742F10" w:rsidRPr="00742F10" w:rsidRDefault="00742F10" w:rsidP="00742F10">
      <w:pPr>
        <w:spacing w:after="80"/>
        <w:ind w:firstLine="425"/>
        <w:rPr>
          <w:rFonts w:eastAsia="Times New Roman"/>
          <w:shd w:val="clear" w:color="auto" w:fill="auto"/>
        </w:rPr>
      </w:pPr>
      <w:r w:rsidRPr="00742F10">
        <w:rPr>
          <w:rFonts w:eastAsia="Times New Roman"/>
          <w:shd w:val="clear" w:color="auto" w:fill="auto"/>
        </w:rPr>
        <w:t>Patients with recurrence had substantially higher pre-procedural NT-</w:t>
      </w:r>
      <w:proofErr w:type="spellStart"/>
      <w:r w:rsidRPr="00742F10">
        <w:rPr>
          <w:rFonts w:eastAsia="Times New Roman"/>
          <w:shd w:val="clear" w:color="auto" w:fill="auto"/>
        </w:rPr>
        <w:t>proBNP</w:t>
      </w:r>
      <w:proofErr w:type="spellEnd"/>
      <w:r w:rsidRPr="00742F10">
        <w:rPr>
          <w:rFonts w:eastAsia="Times New Roman"/>
          <w:shd w:val="clear" w:color="auto" w:fill="auto"/>
        </w:rPr>
        <w:t xml:space="preserve"> concentrations than those who maintained sinus rhythm. An NT-</w:t>
      </w:r>
      <w:proofErr w:type="spellStart"/>
      <w:r w:rsidRPr="00742F10">
        <w:rPr>
          <w:rFonts w:eastAsia="Times New Roman"/>
          <w:shd w:val="clear" w:color="auto" w:fill="auto"/>
        </w:rPr>
        <w:t>proBNP</w:t>
      </w:r>
      <w:proofErr w:type="spellEnd"/>
      <w:r w:rsidRPr="00742F10">
        <w:rPr>
          <w:rFonts w:eastAsia="Times New Roman"/>
          <w:shd w:val="clear" w:color="auto" w:fill="auto"/>
        </w:rPr>
        <w:t xml:space="preserve"> threshold of ≥ 200 </w:t>
      </w:r>
      <w:proofErr w:type="spellStart"/>
      <w:r w:rsidRPr="00742F10">
        <w:rPr>
          <w:rFonts w:eastAsia="Times New Roman"/>
          <w:shd w:val="clear" w:color="auto" w:fill="auto"/>
        </w:rPr>
        <w:t>pg</w:t>
      </w:r>
      <w:proofErr w:type="spellEnd"/>
      <w:r w:rsidRPr="00742F10">
        <w:rPr>
          <w:rFonts w:eastAsia="Times New Roman"/>
          <w:shd w:val="clear" w:color="auto" w:fill="auto"/>
        </w:rPr>
        <w:t>/mL had an AUC of 0.823 at both follow-up time points, a sensitivity of 91.7%, and an OR of approximately 31. These findings are consistent with evidence that natriuretic peptides reflect hemodynamic stress, atrial enlargement, and recurrence risk after ablation.</w:t>
      </w:r>
    </w:p>
    <w:p w:rsidR="00742F10" w:rsidRPr="00742F10" w:rsidRDefault="00742F10" w:rsidP="00742F10">
      <w:pPr>
        <w:spacing w:after="80"/>
        <w:ind w:firstLine="425"/>
        <w:rPr>
          <w:rFonts w:eastAsia="Times New Roman"/>
          <w:shd w:val="clear" w:color="auto" w:fill="auto"/>
        </w:rPr>
      </w:pPr>
      <w:r w:rsidRPr="00742F10">
        <w:rPr>
          <w:rFonts w:eastAsia="Times New Roman"/>
          <w:shd w:val="clear" w:color="auto" w:fill="auto"/>
        </w:rPr>
        <w:t>NT-</w:t>
      </w:r>
      <w:proofErr w:type="spellStart"/>
      <w:r w:rsidRPr="00742F10">
        <w:rPr>
          <w:rFonts w:eastAsia="Times New Roman"/>
          <w:shd w:val="clear" w:color="auto" w:fill="auto"/>
        </w:rPr>
        <w:t>proBNP</w:t>
      </w:r>
      <w:proofErr w:type="spellEnd"/>
      <w:r w:rsidRPr="00742F10">
        <w:rPr>
          <w:rFonts w:eastAsia="Times New Roman"/>
          <w:shd w:val="clear" w:color="auto" w:fill="auto"/>
        </w:rPr>
        <w:t xml:space="preserve"> adds a biological dimension to the clinical-morphological model. The model including persistent AF, </w:t>
      </w:r>
      <w:proofErr w:type="spellStart"/>
      <w:r w:rsidRPr="00742F10">
        <w:rPr>
          <w:rFonts w:eastAsia="Times New Roman"/>
          <w:shd w:val="clear" w:color="auto" w:fill="auto"/>
        </w:rPr>
        <w:t>LADi</w:t>
      </w:r>
      <w:proofErr w:type="spellEnd"/>
      <w:r w:rsidRPr="00742F10">
        <w:rPr>
          <w:rFonts w:eastAsia="Times New Roman"/>
          <w:shd w:val="clear" w:color="auto" w:fill="auto"/>
        </w:rPr>
        <w:t xml:space="preserve">, and </w:t>
      </w:r>
      <w:proofErr w:type="spellStart"/>
      <w:r w:rsidRPr="00742F10">
        <w:rPr>
          <w:rFonts w:eastAsia="Times New Roman"/>
          <w:shd w:val="clear" w:color="auto" w:fill="auto"/>
        </w:rPr>
        <w:t>logNT-proBNP</w:t>
      </w:r>
      <w:proofErr w:type="spellEnd"/>
      <w:r w:rsidRPr="00742F10">
        <w:rPr>
          <w:rFonts w:eastAsia="Times New Roman"/>
          <w:shd w:val="clear" w:color="auto" w:fill="auto"/>
        </w:rPr>
        <w:t xml:space="preserve"> achieved an AUC of 0.889, higher than that of individual variables. Nevertheless, the number of recurrent cases was limited and external validation was not performed; therefore, the model should be considered exploratory rather than a standardized prognostic score.</w:t>
      </w:r>
    </w:p>
    <w:p w:rsidR="00742F10" w:rsidRPr="00742F10" w:rsidRDefault="00742F10" w:rsidP="00742F10">
      <w:pPr>
        <w:keepNext/>
        <w:keepLines/>
        <w:spacing w:before="120" w:after="80"/>
        <w:ind w:firstLine="0"/>
        <w:jc w:val="left"/>
        <w:outlineLvl w:val="2"/>
        <w:rPr>
          <w:rFonts w:eastAsia="MS Gothic"/>
          <w:b/>
          <w:bCs/>
          <w:shd w:val="clear" w:color="auto" w:fill="auto"/>
        </w:rPr>
      </w:pPr>
      <w:r w:rsidRPr="00742F10">
        <w:rPr>
          <w:rFonts w:eastAsia="Times New Roman"/>
          <w:b/>
          <w:bCs/>
          <w:shd w:val="clear" w:color="auto" w:fill="auto"/>
        </w:rPr>
        <w:lastRenderedPageBreak/>
        <w:t>4.3.7. Association between MMP-2 concentration and RFA outcomes</w:t>
      </w:r>
    </w:p>
    <w:p w:rsidR="00742F10" w:rsidRPr="00742F10" w:rsidRDefault="00742F10" w:rsidP="00742F10">
      <w:pPr>
        <w:spacing w:after="80"/>
        <w:ind w:firstLine="425"/>
        <w:rPr>
          <w:rFonts w:eastAsia="Times New Roman"/>
          <w:shd w:val="clear" w:color="auto" w:fill="auto"/>
        </w:rPr>
      </w:pPr>
      <w:r w:rsidRPr="00742F10">
        <w:rPr>
          <w:rFonts w:eastAsia="Times New Roman"/>
          <w:shd w:val="clear" w:color="auto" w:fill="auto"/>
        </w:rPr>
        <w:t>In this study, MMP-2 tended to be higher in the recurrence group but did not reach statistical significance; the AUC was only approximately 0.567-0.577. This suggests that MMP-2 reflects part of the underlying fibrotic substrate but is not a strong single predictor of recurrence over the 3- to 6-month follow-up period. Possible explanations include the limited follow-up sample size, quantification at a single time point, and the lack of comparison with fibrosis MRI or low-voltage mapping.</w:t>
      </w:r>
    </w:p>
    <w:p w:rsidR="00742F10" w:rsidRPr="00742F10" w:rsidRDefault="00742F10" w:rsidP="00742F10">
      <w:pPr>
        <w:spacing w:after="80"/>
        <w:ind w:firstLine="425"/>
        <w:rPr>
          <w:rFonts w:eastAsia="Times New Roman"/>
          <w:shd w:val="clear" w:color="auto" w:fill="auto"/>
        </w:rPr>
      </w:pPr>
      <w:r w:rsidRPr="00742F10">
        <w:rPr>
          <w:rFonts w:eastAsia="Times New Roman"/>
          <w:shd w:val="clear" w:color="auto" w:fill="auto"/>
        </w:rPr>
        <w:t>The value of MMP-2 is likely to become clearer in dynamic pre- and post-RFA studies or when it is combined with TIMPs, collagen markers, and imaging indices of the atrial substrate. In the current data, MMP-2 has greater descriptive pathophysiological significance than independent prognostic value.</w:t>
      </w:r>
    </w:p>
    <w:p w:rsidR="00742F10" w:rsidRPr="00742F10" w:rsidRDefault="00742F10" w:rsidP="00742F10">
      <w:pPr>
        <w:keepNext/>
        <w:keepLines/>
        <w:spacing w:before="120" w:after="80"/>
        <w:ind w:firstLine="0"/>
        <w:jc w:val="left"/>
        <w:outlineLvl w:val="2"/>
        <w:rPr>
          <w:rFonts w:eastAsia="MS Gothic"/>
          <w:b/>
          <w:bCs/>
          <w:shd w:val="clear" w:color="auto" w:fill="auto"/>
        </w:rPr>
      </w:pPr>
      <w:r w:rsidRPr="00742F10">
        <w:rPr>
          <w:rFonts w:eastAsia="Times New Roman"/>
          <w:b/>
          <w:bCs/>
          <w:shd w:val="clear" w:color="auto" w:fill="auto"/>
        </w:rPr>
        <w:t>4.3.8. Association between OPN concentration and RFA outcomes</w:t>
      </w:r>
    </w:p>
    <w:p w:rsidR="00742F10" w:rsidRPr="00742F10" w:rsidRDefault="00742F10" w:rsidP="00742F10">
      <w:pPr>
        <w:spacing w:after="80"/>
        <w:ind w:firstLine="425"/>
        <w:rPr>
          <w:rFonts w:eastAsia="Times New Roman"/>
          <w:shd w:val="clear" w:color="auto" w:fill="auto"/>
        </w:rPr>
      </w:pPr>
      <w:r w:rsidRPr="00742F10">
        <w:rPr>
          <w:rFonts w:eastAsia="Times New Roman"/>
          <w:shd w:val="clear" w:color="auto" w:fill="auto"/>
        </w:rPr>
        <w:t xml:space="preserve">Similar to MMP-2, OPN was slightly higher in the recurrence group but did not reach significance; the AUC was only approximately 0.55-0.57. OPN is a systemic inflammation-fibrosis marker influenced by multiple tissues and </w:t>
      </w:r>
      <w:proofErr w:type="spellStart"/>
      <w:r w:rsidRPr="00742F10">
        <w:rPr>
          <w:rFonts w:eastAsia="Times New Roman"/>
          <w:shd w:val="clear" w:color="auto" w:fill="auto"/>
        </w:rPr>
        <w:t>extracardiac</w:t>
      </w:r>
      <w:proofErr w:type="spellEnd"/>
      <w:r w:rsidRPr="00742F10">
        <w:rPr>
          <w:rFonts w:eastAsia="Times New Roman"/>
          <w:shd w:val="clear" w:color="auto" w:fill="auto"/>
        </w:rPr>
        <w:t xml:space="preserve"> comorbidities; therefore, it is difficult to use alone for selecting or prognosticating patients undergoing RFA.</w:t>
      </w:r>
    </w:p>
    <w:p w:rsidR="00742F10" w:rsidRPr="00742F10" w:rsidRDefault="00742F10" w:rsidP="00742F10">
      <w:pPr>
        <w:spacing w:after="80"/>
        <w:ind w:firstLine="425"/>
        <w:rPr>
          <w:rFonts w:eastAsia="Times New Roman"/>
          <w:shd w:val="clear" w:color="auto" w:fill="auto"/>
        </w:rPr>
      </w:pPr>
      <w:r w:rsidRPr="00742F10">
        <w:rPr>
          <w:rFonts w:eastAsia="Times New Roman"/>
          <w:shd w:val="clear" w:color="auto" w:fill="auto"/>
        </w:rPr>
        <w:t>Nevertheless, the fact that OPN was higher than in controls and increased in an unfavorable direction among patients with left atrial enlargement still demonstrates the biological relevance of the inflammation-fibrosis axis. In the future, OPN may be more useful when incorporated into multi-marker models, with atrial substrate assessment by imaging or electrophysiology and longer-term rhythm monitoring.</w:t>
      </w:r>
    </w:p>
    <w:p w:rsidR="00742F10" w:rsidRDefault="00742F10">
      <w:pPr>
        <w:spacing w:after="200"/>
        <w:ind w:firstLine="0"/>
        <w:jc w:val="left"/>
        <w:rPr>
          <w:b/>
        </w:rPr>
      </w:pPr>
      <w:r>
        <w:rPr>
          <w:b/>
        </w:rPr>
        <w:br w:type="page"/>
      </w:r>
    </w:p>
    <w:p w:rsidR="0082249E" w:rsidRPr="0023747C" w:rsidRDefault="0082249E" w:rsidP="00742F10">
      <w:pPr>
        <w:spacing w:after="200"/>
        <w:ind w:firstLine="0"/>
        <w:jc w:val="center"/>
        <w:rPr>
          <w:rFonts w:eastAsia="MS Mincho"/>
          <w:b/>
          <w:iCs/>
          <w:highlight w:val="white"/>
          <w:lang w:val="es-ES" w:eastAsia="ko-KR"/>
        </w:rPr>
      </w:pPr>
      <w:r>
        <w:rPr>
          <w:b/>
        </w:rPr>
        <w:lastRenderedPageBreak/>
        <w:t>CONCLUSIONS</w:t>
      </w:r>
    </w:p>
    <w:p w:rsidR="00742F10" w:rsidRPr="00742F10" w:rsidRDefault="00742F10" w:rsidP="00742F10">
      <w:pPr>
        <w:keepNext/>
        <w:keepLines/>
        <w:spacing w:before="120" w:after="80"/>
        <w:ind w:firstLine="0"/>
        <w:outlineLvl w:val="1"/>
        <w:rPr>
          <w:rFonts w:eastAsia="MS Gothic"/>
          <w:b/>
          <w:bCs/>
          <w:shd w:val="clear" w:color="auto" w:fill="auto"/>
        </w:rPr>
      </w:pPr>
      <w:r w:rsidRPr="00742F10">
        <w:rPr>
          <w:rFonts w:eastAsia="Times New Roman"/>
          <w:b/>
          <w:bCs/>
          <w:shd w:val="clear" w:color="auto" w:fill="auto"/>
        </w:rPr>
        <w:t>1. Left atrial morphology, NT-</w:t>
      </w:r>
      <w:proofErr w:type="spellStart"/>
      <w:r w:rsidRPr="00742F10">
        <w:rPr>
          <w:rFonts w:eastAsia="Times New Roman"/>
          <w:b/>
          <w:bCs/>
          <w:shd w:val="clear" w:color="auto" w:fill="auto"/>
        </w:rPr>
        <w:t>proBNP</w:t>
      </w:r>
      <w:proofErr w:type="spellEnd"/>
      <w:r w:rsidRPr="00742F10">
        <w:rPr>
          <w:rFonts w:eastAsia="Times New Roman"/>
          <w:b/>
          <w:bCs/>
          <w:shd w:val="clear" w:color="auto" w:fill="auto"/>
        </w:rPr>
        <w:t>, MMP-2, and OPN concentrations, and associations with clinical characteristics</w:t>
      </w:r>
    </w:p>
    <w:p w:rsidR="00742F10" w:rsidRPr="00742F10" w:rsidRDefault="00742F10" w:rsidP="00742F10">
      <w:pPr>
        <w:keepNext/>
        <w:keepLines/>
        <w:spacing w:before="120" w:after="80"/>
        <w:ind w:firstLine="0"/>
        <w:jc w:val="left"/>
        <w:outlineLvl w:val="2"/>
        <w:rPr>
          <w:rFonts w:eastAsia="MS Gothic"/>
          <w:b/>
          <w:bCs/>
          <w:shd w:val="clear" w:color="auto" w:fill="auto"/>
        </w:rPr>
      </w:pPr>
      <w:r w:rsidRPr="00742F10">
        <w:rPr>
          <w:rFonts w:eastAsia="Times New Roman"/>
          <w:b/>
          <w:bCs/>
          <w:shd w:val="clear" w:color="auto" w:fill="auto"/>
        </w:rPr>
        <w:t>1.1. Left atrial morphology</w:t>
      </w:r>
    </w:p>
    <w:p w:rsidR="00742F10" w:rsidRPr="00742F10" w:rsidRDefault="00CB1A37" w:rsidP="00CB1A37">
      <w:pPr>
        <w:spacing w:after="80"/>
        <w:ind w:left="312" w:firstLine="0"/>
        <w:rPr>
          <w:rFonts w:eastAsia="Times New Roman"/>
          <w:shd w:val="clear" w:color="auto" w:fill="auto"/>
        </w:rPr>
      </w:pPr>
      <w:r>
        <w:rPr>
          <w:rFonts w:eastAsia="Times New Roman"/>
          <w:shd w:val="clear" w:color="auto" w:fill="auto"/>
        </w:rPr>
        <w:t xml:space="preserve">- </w:t>
      </w:r>
      <w:r w:rsidR="00742F10" w:rsidRPr="00742F10">
        <w:rPr>
          <w:rFonts w:eastAsia="Times New Roman"/>
          <w:shd w:val="clear" w:color="auto" w:fill="auto"/>
        </w:rPr>
        <w:t xml:space="preserve">The persistent AF group had larger </w:t>
      </w:r>
      <w:r>
        <w:rPr>
          <w:rFonts w:eastAsia="Times New Roman"/>
          <w:shd w:val="clear" w:color="auto" w:fill="auto"/>
        </w:rPr>
        <w:t xml:space="preserve">left atrial dimensions than the </w:t>
      </w:r>
      <w:r w:rsidR="00742F10" w:rsidRPr="00742F10">
        <w:rPr>
          <w:rFonts w:eastAsia="Times New Roman"/>
          <w:shd w:val="clear" w:color="auto" w:fill="auto"/>
        </w:rPr>
        <w:t xml:space="preserve">paroxysmal AF group: LAD 39.90 ± 4.79 mm versus 35.37 ± 5.25 mm; LA-AP_CT 43.39 ± 5.53 mm versus 36.65 ± 6.38 mm; and </w:t>
      </w:r>
      <w:proofErr w:type="spellStart"/>
      <w:r w:rsidR="00742F10" w:rsidRPr="00742F10">
        <w:rPr>
          <w:rFonts w:eastAsia="Times New Roman"/>
          <w:shd w:val="clear" w:color="auto" w:fill="auto"/>
        </w:rPr>
        <w:t>LADi</w:t>
      </w:r>
      <w:proofErr w:type="spellEnd"/>
      <w:r w:rsidR="00742F10" w:rsidRPr="00742F10">
        <w:rPr>
          <w:rFonts w:eastAsia="Times New Roman"/>
          <w:shd w:val="clear" w:color="auto" w:fill="auto"/>
        </w:rPr>
        <w:t xml:space="preserve"> 22.55 ± 2.43 mm/m² versus 21.15 ± 3.34 mm/m²; all differences were statistically significant.</w:t>
      </w:r>
    </w:p>
    <w:p w:rsidR="00742F10" w:rsidRPr="00742F10" w:rsidRDefault="00742F10" w:rsidP="00742F10">
      <w:pPr>
        <w:keepNext/>
        <w:keepLines/>
        <w:spacing w:before="120" w:after="80"/>
        <w:ind w:firstLine="0"/>
        <w:jc w:val="left"/>
        <w:outlineLvl w:val="2"/>
        <w:rPr>
          <w:rFonts w:eastAsia="MS Gothic"/>
          <w:b/>
          <w:bCs/>
          <w:shd w:val="clear" w:color="auto" w:fill="auto"/>
        </w:rPr>
      </w:pPr>
      <w:r w:rsidRPr="00742F10">
        <w:rPr>
          <w:rFonts w:eastAsia="Times New Roman"/>
          <w:b/>
          <w:bCs/>
          <w:shd w:val="clear" w:color="auto" w:fill="auto"/>
        </w:rPr>
        <w:t>1.2. NT-</w:t>
      </w:r>
      <w:proofErr w:type="spellStart"/>
      <w:r w:rsidRPr="00742F10">
        <w:rPr>
          <w:rFonts w:eastAsia="Times New Roman"/>
          <w:b/>
          <w:bCs/>
          <w:shd w:val="clear" w:color="auto" w:fill="auto"/>
        </w:rPr>
        <w:t>proBNP</w:t>
      </w:r>
      <w:proofErr w:type="spellEnd"/>
      <w:r w:rsidRPr="00742F10">
        <w:rPr>
          <w:rFonts w:eastAsia="Times New Roman"/>
          <w:b/>
          <w:bCs/>
          <w:shd w:val="clear" w:color="auto" w:fill="auto"/>
        </w:rPr>
        <w:t xml:space="preserve"> concentration</w:t>
      </w:r>
    </w:p>
    <w:p w:rsidR="00742F10" w:rsidRPr="00742F10" w:rsidRDefault="00CB1A37" w:rsidP="00CB1A37">
      <w:pPr>
        <w:spacing w:after="80"/>
        <w:ind w:left="199" w:firstLine="0"/>
        <w:rPr>
          <w:rFonts w:eastAsia="Times New Roman"/>
          <w:shd w:val="clear" w:color="auto" w:fill="auto"/>
        </w:rPr>
      </w:pPr>
      <w:r>
        <w:rPr>
          <w:rFonts w:eastAsia="Times New Roman"/>
          <w:shd w:val="clear" w:color="auto" w:fill="auto"/>
        </w:rPr>
        <w:t xml:space="preserve">- </w:t>
      </w:r>
      <w:r w:rsidR="00742F10" w:rsidRPr="00742F10">
        <w:rPr>
          <w:rFonts w:eastAsia="Times New Roman"/>
          <w:shd w:val="clear" w:color="auto" w:fill="auto"/>
        </w:rPr>
        <w:t>Mean plasma NT-</w:t>
      </w:r>
      <w:proofErr w:type="spellStart"/>
      <w:r w:rsidR="00742F10" w:rsidRPr="00742F10">
        <w:rPr>
          <w:rFonts w:eastAsia="Times New Roman"/>
          <w:shd w:val="clear" w:color="auto" w:fill="auto"/>
        </w:rPr>
        <w:t>proBNP</w:t>
      </w:r>
      <w:proofErr w:type="spellEnd"/>
      <w:r w:rsidR="00742F10" w:rsidRPr="00742F10">
        <w:rPr>
          <w:rFonts w:eastAsia="Times New Roman"/>
          <w:shd w:val="clear" w:color="auto" w:fill="auto"/>
        </w:rPr>
        <w:t xml:space="preserve"> was 377.21 ± 710.38 </w:t>
      </w:r>
      <w:proofErr w:type="spellStart"/>
      <w:r w:rsidR="00742F10" w:rsidRPr="00742F10">
        <w:rPr>
          <w:rFonts w:eastAsia="Times New Roman"/>
          <w:shd w:val="clear" w:color="auto" w:fill="auto"/>
        </w:rPr>
        <w:t>pg</w:t>
      </w:r>
      <w:proofErr w:type="spellEnd"/>
      <w:r w:rsidR="00742F10" w:rsidRPr="00742F10">
        <w:rPr>
          <w:rFonts w:eastAsia="Times New Roman"/>
          <w:shd w:val="clear" w:color="auto" w:fill="auto"/>
        </w:rPr>
        <w:t xml:space="preserve">/mL; most patients had concentrations in the 100-200 </w:t>
      </w:r>
      <w:proofErr w:type="spellStart"/>
      <w:r w:rsidR="00742F10" w:rsidRPr="00742F10">
        <w:rPr>
          <w:rFonts w:eastAsia="Times New Roman"/>
          <w:shd w:val="clear" w:color="auto" w:fill="auto"/>
        </w:rPr>
        <w:t>pg</w:t>
      </w:r>
      <w:proofErr w:type="spellEnd"/>
      <w:r w:rsidR="00742F10" w:rsidRPr="00742F10">
        <w:rPr>
          <w:rFonts w:eastAsia="Times New Roman"/>
          <w:shd w:val="clear" w:color="auto" w:fill="auto"/>
        </w:rPr>
        <w:t>/mL range.</w:t>
      </w:r>
    </w:p>
    <w:p w:rsidR="00742F10" w:rsidRPr="00742F10" w:rsidRDefault="00CB1A37" w:rsidP="00CB1A37">
      <w:pPr>
        <w:spacing w:after="80"/>
        <w:ind w:left="199" w:firstLine="0"/>
        <w:rPr>
          <w:rFonts w:eastAsia="Times New Roman"/>
          <w:shd w:val="clear" w:color="auto" w:fill="auto"/>
        </w:rPr>
      </w:pPr>
      <w:r>
        <w:rPr>
          <w:rFonts w:eastAsia="Times New Roman"/>
          <w:shd w:val="clear" w:color="auto" w:fill="auto"/>
        </w:rPr>
        <w:t xml:space="preserve">- </w:t>
      </w:r>
      <w:r w:rsidR="00742F10" w:rsidRPr="00742F10">
        <w:rPr>
          <w:rFonts w:eastAsia="Times New Roman"/>
          <w:shd w:val="clear" w:color="auto" w:fill="auto"/>
        </w:rPr>
        <w:t>NT-</w:t>
      </w:r>
      <w:proofErr w:type="spellStart"/>
      <w:r w:rsidR="00742F10" w:rsidRPr="00742F10">
        <w:rPr>
          <w:rFonts w:eastAsia="Times New Roman"/>
          <w:shd w:val="clear" w:color="auto" w:fill="auto"/>
        </w:rPr>
        <w:t>proBNP</w:t>
      </w:r>
      <w:proofErr w:type="spellEnd"/>
      <w:r w:rsidR="00742F10" w:rsidRPr="00742F10">
        <w:rPr>
          <w:rFonts w:eastAsia="Times New Roman"/>
          <w:shd w:val="clear" w:color="auto" w:fill="auto"/>
        </w:rPr>
        <w:t xml:space="preserve"> was higher in the left atrial enlargement groups defined by LAD/</w:t>
      </w:r>
      <w:proofErr w:type="spellStart"/>
      <w:r w:rsidR="00742F10" w:rsidRPr="00742F10">
        <w:rPr>
          <w:rFonts w:eastAsia="Times New Roman"/>
          <w:shd w:val="clear" w:color="auto" w:fill="auto"/>
        </w:rPr>
        <w:t>LADi</w:t>
      </w:r>
      <w:proofErr w:type="spellEnd"/>
      <w:r w:rsidR="00742F10" w:rsidRPr="00742F10">
        <w:rPr>
          <w:rFonts w:eastAsia="Times New Roman"/>
          <w:shd w:val="clear" w:color="auto" w:fill="auto"/>
        </w:rPr>
        <w:t xml:space="preserve"> and LA-AP_CT; it showed moderate positive correlations with LAD, LA-AP_CT, and </w:t>
      </w:r>
      <w:proofErr w:type="spellStart"/>
      <w:r w:rsidR="00742F10" w:rsidRPr="00742F10">
        <w:rPr>
          <w:rFonts w:eastAsia="Times New Roman"/>
          <w:shd w:val="clear" w:color="auto" w:fill="auto"/>
        </w:rPr>
        <w:t>LADi</w:t>
      </w:r>
      <w:proofErr w:type="spellEnd"/>
      <w:r w:rsidR="00742F10" w:rsidRPr="00742F10">
        <w:rPr>
          <w:rFonts w:eastAsia="Times New Roman"/>
          <w:shd w:val="clear" w:color="auto" w:fill="auto"/>
        </w:rPr>
        <w:t xml:space="preserve"> (r = 0.476, 0.453, and 0.476, respectively; p &lt; 0.001).</w:t>
      </w:r>
    </w:p>
    <w:p w:rsidR="00742F10" w:rsidRPr="00742F10" w:rsidRDefault="00CB1A37" w:rsidP="00CB1A37">
      <w:pPr>
        <w:spacing w:after="80"/>
        <w:ind w:left="199" w:firstLine="0"/>
        <w:rPr>
          <w:rFonts w:eastAsia="Times New Roman"/>
          <w:shd w:val="clear" w:color="auto" w:fill="auto"/>
        </w:rPr>
      </w:pPr>
      <w:r>
        <w:rPr>
          <w:rFonts w:eastAsia="Times New Roman"/>
          <w:shd w:val="clear" w:color="auto" w:fill="auto"/>
        </w:rPr>
        <w:t xml:space="preserve">- </w:t>
      </w:r>
      <w:r w:rsidR="00742F10" w:rsidRPr="00742F10">
        <w:rPr>
          <w:rFonts w:eastAsia="Times New Roman"/>
          <w:shd w:val="clear" w:color="auto" w:fill="auto"/>
        </w:rPr>
        <w:t>NT-</w:t>
      </w:r>
      <w:proofErr w:type="spellStart"/>
      <w:r w:rsidR="00742F10" w:rsidRPr="00742F10">
        <w:rPr>
          <w:rFonts w:eastAsia="Times New Roman"/>
          <w:shd w:val="clear" w:color="auto" w:fill="auto"/>
        </w:rPr>
        <w:t>proBNP</w:t>
      </w:r>
      <w:proofErr w:type="spellEnd"/>
      <w:r w:rsidR="00742F10" w:rsidRPr="00742F10">
        <w:rPr>
          <w:rFonts w:eastAsia="Times New Roman"/>
          <w:shd w:val="clear" w:color="auto" w:fill="auto"/>
        </w:rPr>
        <w:t xml:space="preserve"> was statistically significantly higher in persistent AF (median 277 </w:t>
      </w:r>
      <w:proofErr w:type="spellStart"/>
      <w:r w:rsidR="00742F10" w:rsidRPr="00742F10">
        <w:rPr>
          <w:rFonts w:eastAsia="Times New Roman"/>
          <w:shd w:val="clear" w:color="auto" w:fill="auto"/>
        </w:rPr>
        <w:t>pg</w:t>
      </w:r>
      <w:proofErr w:type="spellEnd"/>
      <w:r w:rsidR="00742F10" w:rsidRPr="00742F10">
        <w:rPr>
          <w:rFonts w:eastAsia="Times New Roman"/>
          <w:shd w:val="clear" w:color="auto" w:fill="auto"/>
        </w:rPr>
        <w:t xml:space="preserve">/mL) than in paroxysmal AF (median 163 </w:t>
      </w:r>
      <w:proofErr w:type="spellStart"/>
      <w:r w:rsidR="00742F10" w:rsidRPr="00742F10">
        <w:rPr>
          <w:rFonts w:eastAsia="Times New Roman"/>
          <w:shd w:val="clear" w:color="auto" w:fill="auto"/>
        </w:rPr>
        <w:t>pg</w:t>
      </w:r>
      <w:proofErr w:type="spellEnd"/>
      <w:r w:rsidR="00742F10" w:rsidRPr="00742F10">
        <w:rPr>
          <w:rFonts w:eastAsia="Times New Roman"/>
          <w:shd w:val="clear" w:color="auto" w:fill="auto"/>
        </w:rPr>
        <w:t>/mL).</w:t>
      </w:r>
    </w:p>
    <w:p w:rsidR="00742F10" w:rsidRPr="00742F10" w:rsidRDefault="00742F10" w:rsidP="00742F10">
      <w:pPr>
        <w:keepNext/>
        <w:keepLines/>
        <w:spacing w:before="120" w:after="80"/>
        <w:ind w:firstLine="0"/>
        <w:jc w:val="left"/>
        <w:outlineLvl w:val="2"/>
        <w:rPr>
          <w:rFonts w:eastAsia="MS Gothic"/>
          <w:b/>
          <w:bCs/>
          <w:shd w:val="clear" w:color="auto" w:fill="auto"/>
        </w:rPr>
      </w:pPr>
      <w:r w:rsidRPr="00742F10">
        <w:rPr>
          <w:rFonts w:eastAsia="Times New Roman"/>
          <w:b/>
          <w:bCs/>
          <w:shd w:val="clear" w:color="auto" w:fill="auto"/>
        </w:rPr>
        <w:t>1.3. MMP-2 concentration</w:t>
      </w:r>
    </w:p>
    <w:p w:rsidR="00742F10" w:rsidRPr="00742F10" w:rsidRDefault="00CB1A37" w:rsidP="00CB1A37">
      <w:pPr>
        <w:spacing w:after="80"/>
        <w:ind w:left="199" w:firstLine="0"/>
        <w:rPr>
          <w:rFonts w:eastAsia="Times New Roman"/>
          <w:shd w:val="clear" w:color="auto" w:fill="auto"/>
        </w:rPr>
      </w:pPr>
      <w:r>
        <w:rPr>
          <w:rFonts w:eastAsia="Times New Roman"/>
          <w:shd w:val="clear" w:color="auto" w:fill="auto"/>
        </w:rPr>
        <w:t xml:space="preserve">- </w:t>
      </w:r>
      <w:r w:rsidR="00742F10" w:rsidRPr="00742F10">
        <w:rPr>
          <w:rFonts w:eastAsia="Times New Roman"/>
          <w:shd w:val="clear" w:color="auto" w:fill="auto"/>
        </w:rPr>
        <w:t>Mean plasma MMP-2 was 151.24 ± 37.70 ng/mL, significantly higher than in the control group; most patients had MMP-2 concentrations in the 125-175 ng/mL range.</w:t>
      </w:r>
    </w:p>
    <w:p w:rsidR="00742F10" w:rsidRPr="00742F10" w:rsidRDefault="00CB1A37" w:rsidP="00CB1A37">
      <w:pPr>
        <w:spacing w:after="80"/>
        <w:ind w:left="199" w:firstLine="0"/>
        <w:rPr>
          <w:rFonts w:eastAsia="Times New Roman"/>
          <w:shd w:val="clear" w:color="auto" w:fill="auto"/>
        </w:rPr>
      </w:pPr>
      <w:r>
        <w:rPr>
          <w:rFonts w:eastAsia="Times New Roman"/>
          <w:shd w:val="clear" w:color="auto" w:fill="auto"/>
        </w:rPr>
        <w:t xml:space="preserve">- </w:t>
      </w:r>
      <w:r w:rsidR="00742F10" w:rsidRPr="00742F10">
        <w:rPr>
          <w:rFonts w:eastAsia="Times New Roman"/>
          <w:shd w:val="clear" w:color="auto" w:fill="auto"/>
        </w:rPr>
        <w:t xml:space="preserve">MMP-2 showed weak positive correlations with LAD and </w:t>
      </w:r>
      <w:proofErr w:type="spellStart"/>
      <w:r w:rsidR="00742F10" w:rsidRPr="00742F10">
        <w:rPr>
          <w:rFonts w:eastAsia="Times New Roman"/>
          <w:shd w:val="clear" w:color="auto" w:fill="auto"/>
        </w:rPr>
        <w:t>LADi</w:t>
      </w:r>
      <w:proofErr w:type="spellEnd"/>
      <w:r w:rsidR="00742F10" w:rsidRPr="00742F10">
        <w:rPr>
          <w:rFonts w:eastAsia="Times New Roman"/>
          <w:shd w:val="clear" w:color="auto" w:fill="auto"/>
        </w:rPr>
        <w:t xml:space="preserve">; MMP-2 concentration was significantly higher in the </w:t>
      </w:r>
      <w:proofErr w:type="spellStart"/>
      <w:r w:rsidR="00742F10" w:rsidRPr="00742F10">
        <w:rPr>
          <w:rFonts w:eastAsia="Times New Roman"/>
          <w:shd w:val="clear" w:color="auto" w:fill="auto"/>
        </w:rPr>
        <w:t>LADi</w:t>
      </w:r>
      <w:proofErr w:type="spellEnd"/>
      <w:r w:rsidR="00742F10" w:rsidRPr="00742F10">
        <w:rPr>
          <w:rFonts w:eastAsia="Times New Roman"/>
          <w:shd w:val="clear" w:color="auto" w:fill="auto"/>
        </w:rPr>
        <w:t xml:space="preserve"> ≥ 22 mm/m² group than in the </w:t>
      </w:r>
      <w:proofErr w:type="spellStart"/>
      <w:r w:rsidR="00742F10" w:rsidRPr="00742F10">
        <w:rPr>
          <w:rFonts w:eastAsia="Times New Roman"/>
          <w:shd w:val="clear" w:color="auto" w:fill="auto"/>
        </w:rPr>
        <w:t>LADi</w:t>
      </w:r>
      <w:proofErr w:type="spellEnd"/>
      <w:r w:rsidR="00742F10" w:rsidRPr="00742F10">
        <w:rPr>
          <w:rFonts w:eastAsia="Times New Roman"/>
          <w:shd w:val="clear" w:color="auto" w:fill="auto"/>
        </w:rPr>
        <w:t xml:space="preserve"> &lt; 22 mm/m² group.</w:t>
      </w:r>
    </w:p>
    <w:p w:rsidR="00742F10" w:rsidRPr="00742F10" w:rsidRDefault="00CB1A37" w:rsidP="00CB1A37">
      <w:pPr>
        <w:spacing w:after="80"/>
        <w:ind w:left="199" w:firstLine="0"/>
        <w:rPr>
          <w:rFonts w:eastAsia="Times New Roman"/>
          <w:shd w:val="clear" w:color="auto" w:fill="auto"/>
        </w:rPr>
      </w:pPr>
      <w:r>
        <w:rPr>
          <w:rFonts w:eastAsia="Times New Roman"/>
          <w:shd w:val="clear" w:color="auto" w:fill="auto"/>
        </w:rPr>
        <w:t xml:space="preserve">- </w:t>
      </w:r>
      <w:r w:rsidR="00742F10" w:rsidRPr="00742F10">
        <w:rPr>
          <w:rFonts w:eastAsia="Times New Roman"/>
          <w:shd w:val="clear" w:color="auto" w:fill="auto"/>
        </w:rPr>
        <w:t>MMP-2 tended to be higher in persistent AF than in paroxysmal AF but did not reach statistical significance.</w:t>
      </w:r>
    </w:p>
    <w:p w:rsidR="00742F10" w:rsidRPr="00742F10" w:rsidRDefault="00742F10" w:rsidP="00742F10">
      <w:pPr>
        <w:keepNext/>
        <w:keepLines/>
        <w:spacing w:before="120" w:after="80"/>
        <w:ind w:firstLine="0"/>
        <w:jc w:val="left"/>
        <w:outlineLvl w:val="2"/>
        <w:rPr>
          <w:rFonts w:eastAsia="MS Gothic"/>
          <w:b/>
          <w:bCs/>
          <w:shd w:val="clear" w:color="auto" w:fill="auto"/>
        </w:rPr>
      </w:pPr>
      <w:r w:rsidRPr="00742F10">
        <w:rPr>
          <w:rFonts w:eastAsia="Times New Roman"/>
          <w:b/>
          <w:bCs/>
          <w:shd w:val="clear" w:color="auto" w:fill="auto"/>
        </w:rPr>
        <w:lastRenderedPageBreak/>
        <w:t>1.4. OPN concentration</w:t>
      </w:r>
    </w:p>
    <w:p w:rsidR="00742F10" w:rsidRPr="00742F10" w:rsidRDefault="00CB1A37" w:rsidP="00CB1A37">
      <w:pPr>
        <w:spacing w:after="80"/>
        <w:ind w:left="199" w:firstLine="0"/>
        <w:rPr>
          <w:rFonts w:eastAsia="Times New Roman"/>
          <w:shd w:val="clear" w:color="auto" w:fill="auto"/>
        </w:rPr>
      </w:pPr>
      <w:r>
        <w:rPr>
          <w:rFonts w:eastAsia="Times New Roman"/>
          <w:shd w:val="clear" w:color="auto" w:fill="auto"/>
        </w:rPr>
        <w:t xml:space="preserve">- </w:t>
      </w:r>
      <w:r w:rsidR="00742F10" w:rsidRPr="00742F10">
        <w:rPr>
          <w:rFonts w:eastAsia="Times New Roman"/>
          <w:shd w:val="clear" w:color="auto" w:fill="auto"/>
        </w:rPr>
        <w:t>Mean plasma OPN was 35.61 ± 13.90 ng/mL, significantly higher than in the control group; most patients had OPN concentrations in the 20-40 ng/mL range.</w:t>
      </w:r>
    </w:p>
    <w:p w:rsidR="00742F10" w:rsidRPr="00742F10" w:rsidRDefault="00CB1A37" w:rsidP="00CB1A37">
      <w:pPr>
        <w:spacing w:after="80"/>
        <w:ind w:left="199" w:firstLine="0"/>
        <w:rPr>
          <w:rFonts w:eastAsia="Times New Roman"/>
          <w:shd w:val="clear" w:color="auto" w:fill="auto"/>
        </w:rPr>
      </w:pPr>
      <w:r>
        <w:rPr>
          <w:rFonts w:eastAsia="Times New Roman"/>
          <w:shd w:val="clear" w:color="auto" w:fill="auto"/>
        </w:rPr>
        <w:t xml:space="preserve">- </w:t>
      </w:r>
      <w:r w:rsidR="00742F10" w:rsidRPr="00742F10">
        <w:rPr>
          <w:rFonts w:eastAsia="Times New Roman"/>
          <w:shd w:val="clear" w:color="auto" w:fill="auto"/>
        </w:rPr>
        <w:t xml:space="preserve">OPN showed weak positive correlations with LA-AP_CT and </w:t>
      </w:r>
      <w:proofErr w:type="spellStart"/>
      <w:r w:rsidR="00742F10" w:rsidRPr="00742F10">
        <w:rPr>
          <w:rFonts w:eastAsia="Times New Roman"/>
          <w:shd w:val="clear" w:color="auto" w:fill="auto"/>
        </w:rPr>
        <w:t>LADi</w:t>
      </w:r>
      <w:proofErr w:type="spellEnd"/>
      <w:r w:rsidR="00742F10" w:rsidRPr="00742F10">
        <w:rPr>
          <w:rFonts w:eastAsia="Times New Roman"/>
          <w:shd w:val="clear" w:color="auto" w:fill="auto"/>
        </w:rPr>
        <w:t xml:space="preserve">; OPN concentration was significantly higher in the </w:t>
      </w:r>
      <w:proofErr w:type="spellStart"/>
      <w:r w:rsidR="00742F10" w:rsidRPr="00742F10">
        <w:rPr>
          <w:rFonts w:eastAsia="Times New Roman"/>
          <w:shd w:val="clear" w:color="auto" w:fill="auto"/>
        </w:rPr>
        <w:t>LADi</w:t>
      </w:r>
      <w:proofErr w:type="spellEnd"/>
      <w:r w:rsidR="00742F10" w:rsidRPr="00742F10">
        <w:rPr>
          <w:rFonts w:eastAsia="Times New Roman"/>
          <w:shd w:val="clear" w:color="auto" w:fill="auto"/>
        </w:rPr>
        <w:t xml:space="preserve"> ≥ 22 mm/m² group than in the </w:t>
      </w:r>
      <w:proofErr w:type="spellStart"/>
      <w:r w:rsidR="00742F10" w:rsidRPr="00742F10">
        <w:rPr>
          <w:rFonts w:eastAsia="Times New Roman"/>
          <w:shd w:val="clear" w:color="auto" w:fill="auto"/>
        </w:rPr>
        <w:t>LADi</w:t>
      </w:r>
      <w:proofErr w:type="spellEnd"/>
      <w:r w:rsidR="00742F10" w:rsidRPr="00742F10">
        <w:rPr>
          <w:rFonts w:eastAsia="Times New Roman"/>
          <w:shd w:val="clear" w:color="auto" w:fill="auto"/>
        </w:rPr>
        <w:t xml:space="preserve"> &lt; 22 mm/m² group.</w:t>
      </w:r>
    </w:p>
    <w:p w:rsidR="00742F10" w:rsidRPr="00742F10" w:rsidRDefault="00CB1A37" w:rsidP="00CB1A37">
      <w:pPr>
        <w:spacing w:after="80"/>
        <w:ind w:left="199" w:firstLine="0"/>
        <w:rPr>
          <w:rFonts w:eastAsia="Times New Roman"/>
          <w:shd w:val="clear" w:color="auto" w:fill="auto"/>
        </w:rPr>
      </w:pPr>
      <w:r>
        <w:rPr>
          <w:rFonts w:eastAsia="Times New Roman"/>
          <w:shd w:val="clear" w:color="auto" w:fill="auto"/>
        </w:rPr>
        <w:t xml:space="preserve">- </w:t>
      </w:r>
      <w:r w:rsidR="00742F10" w:rsidRPr="00742F10">
        <w:rPr>
          <w:rFonts w:eastAsia="Times New Roman"/>
          <w:shd w:val="clear" w:color="auto" w:fill="auto"/>
        </w:rPr>
        <w:t>OPN tended to be higher in persistent AF than in paroxysmal AF but did not reach statistical significance.</w:t>
      </w:r>
    </w:p>
    <w:p w:rsidR="00742F10" w:rsidRPr="00742F10" w:rsidRDefault="00742F10" w:rsidP="00742F10">
      <w:pPr>
        <w:keepNext/>
        <w:keepLines/>
        <w:spacing w:before="120" w:after="80"/>
        <w:ind w:firstLine="0"/>
        <w:outlineLvl w:val="1"/>
        <w:rPr>
          <w:rFonts w:eastAsia="MS Gothic"/>
          <w:b/>
          <w:bCs/>
          <w:shd w:val="clear" w:color="auto" w:fill="auto"/>
        </w:rPr>
      </w:pPr>
      <w:r w:rsidRPr="00742F10">
        <w:rPr>
          <w:rFonts w:eastAsia="Times New Roman"/>
          <w:b/>
          <w:bCs/>
          <w:shd w:val="clear" w:color="auto" w:fill="auto"/>
        </w:rPr>
        <w:t>2. Outcomes of AF treatment with RFA and associations with left atrial morphology and plasma NT-</w:t>
      </w:r>
      <w:proofErr w:type="spellStart"/>
      <w:r w:rsidRPr="00742F10">
        <w:rPr>
          <w:rFonts w:eastAsia="Times New Roman"/>
          <w:b/>
          <w:bCs/>
          <w:shd w:val="clear" w:color="auto" w:fill="auto"/>
        </w:rPr>
        <w:t>proBNP</w:t>
      </w:r>
      <w:proofErr w:type="spellEnd"/>
      <w:r w:rsidRPr="00742F10">
        <w:rPr>
          <w:rFonts w:eastAsia="Times New Roman"/>
          <w:b/>
          <w:bCs/>
          <w:shd w:val="clear" w:color="auto" w:fill="auto"/>
        </w:rPr>
        <w:t>, MMP-2, and OPN concentrations</w:t>
      </w:r>
    </w:p>
    <w:p w:rsidR="00742F10" w:rsidRPr="00742F10" w:rsidRDefault="00742F10" w:rsidP="00742F10">
      <w:pPr>
        <w:keepNext/>
        <w:keepLines/>
        <w:spacing w:before="120" w:after="80"/>
        <w:ind w:firstLine="0"/>
        <w:jc w:val="left"/>
        <w:outlineLvl w:val="2"/>
        <w:rPr>
          <w:rFonts w:eastAsia="MS Gothic"/>
          <w:b/>
          <w:bCs/>
          <w:shd w:val="clear" w:color="auto" w:fill="auto"/>
        </w:rPr>
      </w:pPr>
      <w:r w:rsidRPr="00742F10">
        <w:rPr>
          <w:rFonts w:eastAsia="Times New Roman"/>
          <w:b/>
          <w:bCs/>
          <w:shd w:val="clear" w:color="auto" w:fill="auto"/>
        </w:rPr>
        <w:t>2.1. Treatment outcomes for atrial fibrillation</w:t>
      </w:r>
    </w:p>
    <w:p w:rsidR="00742F10" w:rsidRPr="00742F10" w:rsidRDefault="00CB1A37" w:rsidP="00CB1A37">
      <w:pPr>
        <w:spacing w:after="80"/>
        <w:ind w:left="199" w:firstLine="0"/>
        <w:rPr>
          <w:rFonts w:eastAsia="Times New Roman"/>
          <w:shd w:val="clear" w:color="auto" w:fill="auto"/>
        </w:rPr>
      </w:pPr>
      <w:r>
        <w:rPr>
          <w:rFonts w:eastAsia="Times New Roman"/>
          <w:shd w:val="clear" w:color="auto" w:fill="auto"/>
        </w:rPr>
        <w:t xml:space="preserve">- </w:t>
      </w:r>
      <w:r w:rsidR="00742F10" w:rsidRPr="00742F10">
        <w:rPr>
          <w:rFonts w:eastAsia="Times New Roman"/>
          <w:shd w:val="clear" w:color="auto" w:fill="auto"/>
        </w:rPr>
        <w:t>At 3 months after RFA, the sinus rhythm maintenance rates in the overall cohort, the paroxysmal AF group, and the persistent AF group were 77.78%, 89.47%, and 50.00%, respectively.</w:t>
      </w:r>
    </w:p>
    <w:p w:rsidR="00742F10" w:rsidRPr="00742F10" w:rsidRDefault="00CB1A37" w:rsidP="00CB1A37">
      <w:pPr>
        <w:spacing w:after="80"/>
        <w:ind w:left="199" w:firstLine="0"/>
        <w:rPr>
          <w:rFonts w:eastAsia="Times New Roman"/>
          <w:shd w:val="clear" w:color="auto" w:fill="auto"/>
        </w:rPr>
      </w:pPr>
      <w:r>
        <w:rPr>
          <w:rFonts w:eastAsia="Times New Roman"/>
          <w:shd w:val="clear" w:color="auto" w:fill="auto"/>
        </w:rPr>
        <w:t xml:space="preserve">- </w:t>
      </w:r>
      <w:r w:rsidR="00742F10" w:rsidRPr="00742F10">
        <w:rPr>
          <w:rFonts w:eastAsia="Times New Roman"/>
          <w:shd w:val="clear" w:color="auto" w:fill="auto"/>
        </w:rPr>
        <w:t>At 6 months after RFA, the sinus rhythm maintenance rates in the overall cohort, the paroxysmal AF group, and the persistent AF group were 75.93%, 89.47%, and 43.75%, respectively.</w:t>
      </w:r>
    </w:p>
    <w:p w:rsidR="00742F10" w:rsidRPr="00742F10" w:rsidRDefault="00CB1A37" w:rsidP="00CB1A37">
      <w:pPr>
        <w:spacing w:after="80"/>
        <w:ind w:left="199" w:firstLine="0"/>
        <w:rPr>
          <w:rFonts w:eastAsia="Times New Roman"/>
          <w:shd w:val="clear" w:color="auto" w:fill="auto"/>
        </w:rPr>
      </w:pPr>
      <w:r>
        <w:rPr>
          <w:rFonts w:eastAsia="Times New Roman"/>
          <w:shd w:val="clear" w:color="auto" w:fill="auto"/>
        </w:rPr>
        <w:t xml:space="preserve">- </w:t>
      </w:r>
      <w:r w:rsidR="00742F10" w:rsidRPr="00742F10">
        <w:rPr>
          <w:rFonts w:eastAsia="Times New Roman"/>
          <w:shd w:val="clear" w:color="auto" w:fill="auto"/>
        </w:rPr>
        <w:t>Clinical symptoms improved markedly after RFA; EHRA class decreased significantly compared with before the procedure, and most patients were classified as EHRA 1 or 2a after follow-up.</w:t>
      </w:r>
    </w:p>
    <w:p w:rsidR="00742F10" w:rsidRPr="00742F10" w:rsidRDefault="00CB1A37" w:rsidP="00CB1A37">
      <w:pPr>
        <w:spacing w:after="80"/>
        <w:ind w:left="199" w:firstLine="0"/>
        <w:rPr>
          <w:rFonts w:eastAsia="Times New Roman"/>
          <w:shd w:val="clear" w:color="auto" w:fill="auto"/>
        </w:rPr>
      </w:pPr>
      <w:r>
        <w:rPr>
          <w:rFonts w:eastAsia="Times New Roman"/>
          <w:shd w:val="clear" w:color="auto" w:fill="auto"/>
        </w:rPr>
        <w:t xml:space="preserve">- </w:t>
      </w:r>
      <w:r w:rsidR="00742F10" w:rsidRPr="00742F10">
        <w:rPr>
          <w:rFonts w:eastAsia="Times New Roman"/>
          <w:shd w:val="clear" w:color="auto" w:fill="auto"/>
        </w:rPr>
        <w:t>The early complication rate was low, mainly consisting of mild complications or complications managed stably; no deaths or severe complications were recorded in the study sample.</w:t>
      </w:r>
    </w:p>
    <w:p w:rsidR="00742F10" w:rsidRPr="00742F10" w:rsidRDefault="00742F10" w:rsidP="00742F10">
      <w:pPr>
        <w:keepNext/>
        <w:keepLines/>
        <w:spacing w:before="120" w:after="80"/>
        <w:ind w:firstLine="0"/>
        <w:outlineLvl w:val="2"/>
        <w:rPr>
          <w:rFonts w:eastAsia="MS Gothic"/>
          <w:b/>
          <w:bCs/>
          <w:shd w:val="clear" w:color="auto" w:fill="auto"/>
        </w:rPr>
      </w:pPr>
      <w:r w:rsidRPr="00742F10">
        <w:rPr>
          <w:rFonts w:eastAsia="Times New Roman"/>
          <w:b/>
          <w:bCs/>
          <w:shd w:val="clear" w:color="auto" w:fill="auto"/>
        </w:rPr>
        <w:t>2.2. Associations between AF treatment outcomes and left atrial morphology, NT-</w:t>
      </w:r>
      <w:proofErr w:type="spellStart"/>
      <w:r w:rsidRPr="00742F10">
        <w:rPr>
          <w:rFonts w:eastAsia="Times New Roman"/>
          <w:b/>
          <w:bCs/>
          <w:shd w:val="clear" w:color="auto" w:fill="auto"/>
        </w:rPr>
        <w:t>proBNP</w:t>
      </w:r>
      <w:proofErr w:type="spellEnd"/>
      <w:r w:rsidRPr="00742F10">
        <w:rPr>
          <w:rFonts w:eastAsia="Times New Roman"/>
          <w:b/>
          <w:bCs/>
          <w:shd w:val="clear" w:color="auto" w:fill="auto"/>
        </w:rPr>
        <w:t>, MMP-2, and OPN</w:t>
      </w:r>
    </w:p>
    <w:p w:rsidR="00742F10" w:rsidRPr="00742F10" w:rsidRDefault="00CB1A37" w:rsidP="00CB1A37">
      <w:pPr>
        <w:spacing w:after="80"/>
        <w:ind w:left="199" w:firstLine="0"/>
        <w:rPr>
          <w:rFonts w:eastAsia="Times New Roman"/>
          <w:shd w:val="clear" w:color="auto" w:fill="auto"/>
        </w:rPr>
      </w:pPr>
      <w:r>
        <w:rPr>
          <w:rFonts w:eastAsia="Times New Roman"/>
          <w:shd w:val="clear" w:color="auto" w:fill="auto"/>
        </w:rPr>
        <w:t xml:space="preserve">- </w:t>
      </w:r>
      <w:r w:rsidR="00742F10" w:rsidRPr="00742F10">
        <w:rPr>
          <w:rFonts w:eastAsia="Times New Roman"/>
          <w:shd w:val="clear" w:color="auto" w:fill="auto"/>
        </w:rPr>
        <w:t xml:space="preserve">LAD and </w:t>
      </w:r>
      <w:proofErr w:type="spellStart"/>
      <w:r w:rsidR="00742F10" w:rsidRPr="00742F10">
        <w:rPr>
          <w:rFonts w:eastAsia="Times New Roman"/>
          <w:shd w:val="clear" w:color="auto" w:fill="auto"/>
        </w:rPr>
        <w:t>LADi</w:t>
      </w:r>
      <w:proofErr w:type="spellEnd"/>
      <w:r w:rsidR="00742F10" w:rsidRPr="00742F10">
        <w:rPr>
          <w:rFonts w:eastAsia="Times New Roman"/>
          <w:shd w:val="clear" w:color="auto" w:fill="auto"/>
        </w:rPr>
        <w:t xml:space="preserve"> differed significantly between the recurrence group and the sinus rhythm maintenance group. At 6 months, </w:t>
      </w:r>
      <w:proofErr w:type="spellStart"/>
      <w:r w:rsidR="00742F10" w:rsidRPr="00742F10">
        <w:rPr>
          <w:rFonts w:eastAsia="Times New Roman"/>
          <w:shd w:val="clear" w:color="auto" w:fill="auto"/>
        </w:rPr>
        <w:t>LADi</w:t>
      </w:r>
      <w:proofErr w:type="spellEnd"/>
      <w:r w:rsidR="00742F10" w:rsidRPr="00742F10">
        <w:rPr>
          <w:rFonts w:eastAsia="Times New Roman"/>
          <w:shd w:val="clear" w:color="auto" w:fill="auto"/>
        </w:rPr>
        <w:t xml:space="preserve"> </w:t>
      </w:r>
      <w:r w:rsidR="00742F10" w:rsidRPr="00742F10">
        <w:rPr>
          <w:rFonts w:eastAsia="Times New Roman"/>
          <w:shd w:val="clear" w:color="auto" w:fill="auto"/>
        </w:rPr>
        <w:lastRenderedPageBreak/>
        <w:t>≥ 23.5 mm/m² had an AUC of 0.810 and an OR of 18.00 (95% CI: 3.76-86.23; p &lt; 0.001).</w:t>
      </w:r>
    </w:p>
    <w:p w:rsidR="00742F10" w:rsidRPr="00742F10" w:rsidRDefault="00CB1A37" w:rsidP="00CB1A37">
      <w:pPr>
        <w:spacing w:after="80"/>
        <w:ind w:left="199" w:firstLine="0"/>
        <w:rPr>
          <w:rFonts w:eastAsia="Times New Roman"/>
          <w:shd w:val="clear" w:color="auto" w:fill="auto"/>
        </w:rPr>
      </w:pPr>
      <w:r>
        <w:rPr>
          <w:rFonts w:eastAsia="Times New Roman"/>
          <w:shd w:val="clear" w:color="auto" w:fill="auto"/>
        </w:rPr>
        <w:t xml:space="preserve">- </w:t>
      </w:r>
      <w:r w:rsidR="00742F10" w:rsidRPr="00742F10">
        <w:rPr>
          <w:rFonts w:eastAsia="Times New Roman"/>
          <w:shd w:val="clear" w:color="auto" w:fill="auto"/>
        </w:rPr>
        <w:t>NT-</w:t>
      </w:r>
      <w:proofErr w:type="spellStart"/>
      <w:r w:rsidR="00742F10" w:rsidRPr="00742F10">
        <w:rPr>
          <w:rFonts w:eastAsia="Times New Roman"/>
          <w:shd w:val="clear" w:color="auto" w:fill="auto"/>
        </w:rPr>
        <w:t>proBNP</w:t>
      </w:r>
      <w:proofErr w:type="spellEnd"/>
      <w:r w:rsidR="00742F10" w:rsidRPr="00742F10">
        <w:rPr>
          <w:rFonts w:eastAsia="Times New Roman"/>
          <w:shd w:val="clear" w:color="auto" w:fill="auto"/>
        </w:rPr>
        <w:t xml:space="preserve"> was significantly higher in the recurrence group. The threshold NT-</w:t>
      </w:r>
      <w:proofErr w:type="spellStart"/>
      <w:r w:rsidR="00742F10" w:rsidRPr="00742F10">
        <w:rPr>
          <w:rFonts w:eastAsia="Times New Roman"/>
          <w:shd w:val="clear" w:color="auto" w:fill="auto"/>
        </w:rPr>
        <w:t>proBNP</w:t>
      </w:r>
      <w:proofErr w:type="spellEnd"/>
      <w:r w:rsidR="00742F10" w:rsidRPr="00742F10">
        <w:rPr>
          <w:rFonts w:eastAsia="Times New Roman"/>
          <w:shd w:val="clear" w:color="auto" w:fill="auto"/>
        </w:rPr>
        <w:t xml:space="preserve"> ≥ 200 </w:t>
      </w:r>
      <w:proofErr w:type="spellStart"/>
      <w:r w:rsidR="00742F10" w:rsidRPr="00742F10">
        <w:rPr>
          <w:rFonts w:eastAsia="Times New Roman"/>
          <w:shd w:val="clear" w:color="auto" w:fill="auto"/>
        </w:rPr>
        <w:t>pg</w:t>
      </w:r>
      <w:proofErr w:type="spellEnd"/>
      <w:r w:rsidR="00742F10" w:rsidRPr="00742F10">
        <w:rPr>
          <w:rFonts w:eastAsia="Times New Roman"/>
          <w:shd w:val="clear" w:color="auto" w:fill="auto"/>
        </w:rPr>
        <w:t>/mL had an AUC of 0.823 and an OR of 31.00 (95% CI: 3.58-268.71; p &lt; 0.001) at the 6-month time point.</w:t>
      </w:r>
    </w:p>
    <w:p w:rsidR="00742F10" w:rsidRPr="00742F10" w:rsidRDefault="00CB1A37" w:rsidP="00CB1A37">
      <w:pPr>
        <w:spacing w:after="80"/>
        <w:ind w:left="199" w:firstLine="0"/>
        <w:rPr>
          <w:rFonts w:eastAsia="Times New Roman"/>
          <w:shd w:val="clear" w:color="auto" w:fill="auto"/>
        </w:rPr>
      </w:pPr>
      <w:r>
        <w:rPr>
          <w:rFonts w:eastAsia="Times New Roman"/>
          <w:shd w:val="clear" w:color="auto" w:fill="auto"/>
        </w:rPr>
        <w:t xml:space="preserve">- </w:t>
      </w:r>
      <w:r w:rsidR="00742F10" w:rsidRPr="00742F10">
        <w:rPr>
          <w:rFonts w:eastAsia="Times New Roman"/>
          <w:shd w:val="clear" w:color="auto" w:fill="auto"/>
        </w:rPr>
        <w:t xml:space="preserve">MMP-2 and OPN tended to be higher in the recurrence group but did not reach statistical significance; their performance as single predictors </w:t>
      </w:r>
      <w:proofErr w:type="gramStart"/>
      <w:r w:rsidR="00742F10" w:rsidRPr="00742F10">
        <w:rPr>
          <w:rFonts w:eastAsia="Times New Roman"/>
          <w:shd w:val="clear" w:color="auto" w:fill="auto"/>
        </w:rPr>
        <w:t>was</w:t>
      </w:r>
      <w:proofErr w:type="gramEnd"/>
      <w:r w:rsidR="00742F10" w:rsidRPr="00742F10">
        <w:rPr>
          <w:rFonts w:eastAsia="Times New Roman"/>
          <w:shd w:val="clear" w:color="auto" w:fill="auto"/>
        </w:rPr>
        <w:t xml:space="preserve"> limited.</w:t>
      </w:r>
    </w:p>
    <w:p w:rsidR="00742F10" w:rsidRPr="00742F10" w:rsidRDefault="00CB1A37" w:rsidP="00CB1A37">
      <w:pPr>
        <w:spacing w:after="80"/>
        <w:ind w:left="199" w:firstLine="0"/>
        <w:rPr>
          <w:rFonts w:eastAsia="Times New Roman"/>
          <w:shd w:val="clear" w:color="auto" w:fill="auto"/>
        </w:rPr>
      </w:pPr>
      <w:r>
        <w:rPr>
          <w:rFonts w:eastAsia="Times New Roman"/>
          <w:shd w:val="clear" w:color="auto" w:fill="auto"/>
        </w:rPr>
        <w:t xml:space="preserve">- </w:t>
      </w:r>
      <w:r w:rsidR="00742F10" w:rsidRPr="00742F10">
        <w:rPr>
          <w:rFonts w:eastAsia="Times New Roman"/>
          <w:shd w:val="clear" w:color="auto" w:fill="auto"/>
        </w:rPr>
        <w:t xml:space="preserve">The model combining persistent AF + </w:t>
      </w:r>
      <w:proofErr w:type="spellStart"/>
      <w:r w:rsidR="00742F10" w:rsidRPr="00742F10">
        <w:rPr>
          <w:rFonts w:eastAsia="Times New Roman"/>
          <w:shd w:val="clear" w:color="auto" w:fill="auto"/>
        </w:rPr>
        <w:t>LADi</w:t>
      </w:r>
      <w:proofErr w:type="spellEnd"/>
      <w:r w:rsidR="00742F10" w:rsidRPr="00742F10">
        <w:rPr>
          <w:rFonts w:eastAsia="Times New Roman"/>
          <w:shd w:val="clear" w:color="auto" w:fill="auto"/>
        </w:rPr>
        <w:t xml:space="preserve"> + log10(NT-</w:t>
      </w:r>
      <w:proofErr w:type="spellStart"/>
      <w:r w:rsidR="00742F10" w:rsidRPr="00742F10">
        <w:rPr>
          <w:rFonts w:eastAsia="Times New Roman"/>
          <w:shd w:val="clear" w:color="auto" w:fill="auto"/>
        </w:rPr>
        <w:t>proBNP</w:t>
      </w:r>
      <w:proofErr w:type="spellEnd"/>
      <w:r w:rsidR="00742F10" w:rsidRPr="00742F10">
        <w:rPr>
          <w:rFonts w:eastAsia="Times New Roman"/>
          <w:shd w:val="clear" w:color="auto" w:fill="auto"/>
        </w:rPr>
        <w:t xml:space="preserve">) achieved an AUC of 0.889 at 6 months, while the model combining persistent AF + </w:t>
      </w:r>
      <w:proofErr w:type="spellStart"/>
      <w:r w:rsidR="00742F10" w:rsidRPr="00742F10">
        <w:rPr>
          <w:rFonts w:eastAsia="Times New Roman"/>
          <w:shd w:val="clear" w:color="auto" w:fill="auto"/>
        </w:rPr>
        <w:t>LADi</w:t>
      </w:r>
      <w:proofErr w:type="spellEnd"/>
      <w:r w:rsidR="00742F10" w:rsidRPr="00742F10">
        <w:rPr>
          <w:rFonts w:eastAsia="Times New Roman"/>
          <w:shd w:val="clear" w:color="auto" w:fill="auto"/>
        </w:rPr>
        <w:t xml:space="preserve"> achieved an AUC of 0.877. These models are exploratory and require validation in larger, independent populations before being used as standardized prognostic tools.</w:t>
      </w:r>
    </w:p>
    <w:p w:rsidR="00EB5110" w:rsidRPr="00742F10" w:rsidRDefault="00EB5110" w:rsidP="00742F10">
      <w:pPr>
        <w:spacing w:after="200"/>
        <w:ind w:firstLine="0"/>
        <w:jc w:val="center"/>
        <w:rPr>
          <w:b/>
          <w:lang w:val="vi-VN"/>
        </w:rPr>
      </w:pPr>
      <w:r w:rsidRPr="00742F10">
        <w:rPr>
          <w:b/>
        </w:rPr>
        <w:t>RECOMMENDATIONS</w:t>
      </w:r>
    </w:p>
    <w:p w:rsidR="00742F10" w:rsidRPr="00742F10" w:rsidRDefault="00742F10" w:rsidP="00742F10">
      <w:pPr>
        <w:spacing w:after="80"/>
        <w:ind w:firstLine="0"/>
        <w:rPr>
          <w:rFonts w:eastAsia="Times New Roman"/>
          <w:shd w:val="clear" w:color="auto" w:fill="auto"/>
        </w:rPr>
      </w:pPr>
      <w:r w:rsidRPr="00742F10">
        <w:rPr>
          <w:rFonts w:eastAsia="Times New Roman"/>
          <w:shd w:val="clear" w:color="auto" w:fill="auto"/>
        </w:rPr>
        <w:t xml:space="preserve">1. In the pre-RFA assessment of patients with AF, attention should be paid simultaneously to AF phenotype, </w:t>
      </w:r>
      <w:proofErr w:type="spellStart"/>
      <w:r w:rsidRPr="00742F10">
        <w:rPr>
          <w:rFonts w:eastAsia="Times New Roman"/>
          <w:shd w:val="clear" w:color="auto" w:fill="auto"/>
        </w:rPr>
        <w:t>LADi</w:t>
      </w:r>
      <w:proofErr w:type="spellEnd"/>
      <w:r w:rsidRPr="00742F10">
        <w:rPr>
          <w:rFonts w:eastAsia="Times New Roman"/>
          <w:shd w:val="clear" w:color="auto" w:fill="auto"/>
        </w:rPr>
        <w:t>, and NT-</w:t>
      </w:r>
      <w:proofErr w:type="spellStart"/>
      <w:r w:rsidRPr="00742F10">
        <w:rPr>
          <w:rFonts w:eastAsia="Times New Roman"/>
          <w:shd w:val="clear" w:color="auto" w:fill="auto"/>
        </w:rPr>
        <w:t>proBNP</w:t>
      </w:r>
      <w:proofErr w:type="spellEnd"/>
      <w:r w:rsidRPr="00742F10">
        <w:rPr>
          <w:rFonts w:eastAsia="Times New Roman"/>
          <w:shd w:val="clear" w:color="auto" w:fill="auto"/>
        </w:rPr>
        <w:t xml:space="preserve"> to counsel patients on recurrence risk and to plan post-intervention follow-up. The thresholds </w:t>
      </w:r>
      <w:proofErr w:type="spellStart"/>
      <w:r w:rsidRPr="00742F10">
        <w:rPr>
          <w:rFonts w:eastAsia="Times New Roman"/>
          <w:shd w:val="clear" w:color="auto" w:fill="auto"/>
        </w:rPr>
        <w:t>LADi</w:t>
      </w:r>
      <w:proofErr w:type="spellEnd"/>
      <w:r w:rsidRPr="00742F10">
        <w:rPr>
          <w:rFonts w:eastAsia="Times New Roman"/>
          <w:shd w:val="clear" w:color="auto" w:fill="auto"/>
        </w:rPr>
        <w:t xml:space="preserve"> ≥ 23.5 mm/m² and NT-</w:t>
      </w:r>
      <w:proofErr w:type="spellStart"/>
      <w:r w:rsidRPr="00742F10">
        <w:rPr>
          <w:rFonts w:eastAsia="Times New Roman"/>
          <w:shd w:val="clear" w:color="auto" w:fill="auto"/>
        </w:rPr>
        <w:t>proBNP</w:t>
      </w:r>
      <w:proofErr w:type="spellEnd"/>
      <w:r w:rsidRPr="00742F10">
        <w:rPr>
          <w:rFonts w:eastAsia="Times New Roman"/>
          <w:shd w:val="clear" w:color="auto" w:fill="auto"/>
        </w:rPr>
        <w:t xml:space="preserve"> ≥ 200 </w:t>
      </w:r>
      <w:proofErr w:type="spellStart"/>
      <w:r w:rsidRPr="00742F10">
        <w:rPr>
          <w:rFonts w:eastAsia="Times New Roman"/>
          <w:shd w:val="clear" w:color="auto" w:fill="auto"/>
        </w:rPr>
        <w:t>pg</w:t>
      </w:r>
      <w:proofErr w:type="spellEnd"/>
      <w:r w:rsidRPr="00742F10">
        <w:rPr>
          <w:rFonts w:eastAsia="Times New Roman"/>
          <w:shd w:val="clear" w:color="auto" w:fill="auto"/>
        </w:rPr>
        <w:t>/mL identified in this dissertation may be considered suggestive cut-offs in the study population.</w:t>
      </w:r>
    </w:p>
    <w:p w:rsidR="00742F10" w:rsidRPr="00742F10" w:rsidRDefault="00742F10" w:rsidP="00742F10">
      <w:pPr>
        <w:spacing w:after="80"/>
        <w:ind w:firstLine="0"/>
        <w:rPr>
          <w:rFonts w:eastAsia="Times New Roman"/>
          <w:shd w:val="clear" w:color="auto" w:fill="auto"/>
        </w:rPr>
      </w:pPr>
      <w:r w:rsidRPr="00742F10">
        <w:rPr>
          <w:rFonts w:eastAsia="Times New Roman"/>
          <w:shd w:val="clear" w:color="auto" w:fill="auto"/>
        </w:rPr>
        <w:t>2. The available evidence is insufficient to support the use of MMP-2 or OPN alone for predicting recurrence after RFA in clinical practice. These two biomarkers should be further studied in multi-marker models that include dynamic pre- and post-RFA assessment and external validation.</w:t>
      </w:r>
    </w:p>
    <w:p w:rsidR="00742F10" w:rsidRPr="00742F10" w:rsidRDefault="00742F10" w:rsidP="00742F10">
      <w:pPr>
        <w:spacing w:after="80"/>
        <w:ind w:firstLine="0"/>
        <w:rPr>
          <w:rFonts w:eastAsia="Times New Roman"/>
          <w:shd w:val="clear" w:color="auto" w:fill="auto"/>
        </w:rPr>
      </w:pPr>
      <w:r w:rsidRPr="00742F10">
        <w:rPr>
          <w:rFonts w:eastAsia="Times New Roman"/>
          <w:shd w:val="clear" w:color="auto" w:fill="auto"/>
        </w:rPr>
        <w:t>3. Multicenter studies with larger sample sizes, longer follow-up periods, extended rhythm monitoring or wearable devices, and additional assessment using LAVI, left atrial strain, MRI, or low-</w:t>
      </w:r>
      <w:r w:rsidRPr="00742F10">
        <w:rPr>
          <w:rFonts w:eastAsia="Times New Roman"/>
          <w:shd w:val="clear" w:color="auto" w:fill="auto"/>
        </w:rPr>
        <w:lastRenderedPageBreak/>
        <w:t>voltage mapping of the left atrium are needed to validate and refine the predictive model.</w:t>
      </w:r>
    </w:p>
    <w:p w:rsidR="005651A3" w:rsidRPr="00742F10" w:rsidRDefault="005651A3" w:rsidP="005B0BA0">
      <w:pPr>
        <w:spacing w:line="340" w:lineRule="exact"/>
        <w:ind w:firstLine="284"/>
        <w:rPr>
          <w:rFonts w:eastAsia="Times New Roman"/>
        </w:rPr>
      </w:pPr>
      <w:r w:rsidRPr="00742F10">
        <w:t>.</w:t>
      </w:r>
    </w:p>
    <w:p w:rsidR="00F55346" w:rsidRPr="0023747C" w:rsidRDefault="00F55346" w:rsidP="00E3112E">
      <w:pPr>
        <w:pStyle w:val="Title"/>
        <w:ind w:firstLine="0"/>
        <w:rPr>
          <w:lang w:val="es-ES"/>
        </w:rPr>
      </w:pPr>
      <w:r>
        <w:t>LIST OF PUBLICATIONS ARISING FROM THE DISSERTATION</w:t>
      </w:r>
    </w:p>
    <w:p w:rsidR="005651A3" w:rsidRPr="005651A3" w:rsidRDefault="005651A3" w:rsidP="005B0BA0">
      <w:pPr>
        <w:spacing w:line="340" w:lineRule="exact"/>
        <w:ind w:firstLine="284"/>
        <w:rPr>
          <w:rFonts w:eastAsia="Times New Roman"/>
        </w:rPr>
      </w:pPr>
      <w:r>
        <w:t xml:space="preserve">1. </w:t>
      </w:r>
      <w:r w:rsidR="00F8121B" w:rsidRPr="00F8121B">
        <w:t xml:space="preserve">Nguyen </w:t>
      </w:r>
      <w:proofErr w:type="spellStart"/>
      <w:r w:rsidR="00F8121B" w:rsidRPr="00F8121B">
        <w:t>Huu</w:t>
      </w:r>
      <w:proofErr w:type="spellEnd"/>
      <w:r w:rsidR="00F8121B" w:rsidRPr="00F8121B">
        <w:t xml:space="preserve"> Hong </w:t>
      </w:r>
      <w:proofErr w:type="spellStart"/>
      <w:r w:rsidR="00F8121B" w:rsidRPr="00F8121B">
        <w:t>Chuong</w:t>
      </w:r>
      <w:proofErr w:type="spellEnd"/>
      <w:r w:rsidR="00F8121B" w:rsidRPr="00F8121B">
        <w:t xml:space="preserve">, Pham Tran </w:t>
      </w:r>
      <w:proofErr w:type="spellStart"/>
      <w:r w:rsidR="00F8121B" w:rsidRPr="00F8121B">
        <w:t>Linh</w:t>
      </w:r>
      <w:proofErr w:type="spellEnd"/>
      <w:r w:rsidR="00F8121B" w:rsidRPr="00F8121B">
        <w:t xml:space="preserve">, Luong Cong </w:t>
      </w:r>
      <w:proofErr w:type="spellStart"/>
      <w:r w:rsidR="00F8121B" w:rsidRPr="00F8121B">
        <w:t>Thuc</w:t>
      </w:r>
      <w:proofErr w:type="spellEnd"/>
      <w:r w:rsidR="00F8121B" w:rsidRPr="00F8121B">
        <w:t xml:space="preserve"> </w:t>
      </w:r>
      <w:r>
        <w:t xml:space="preserve">(2025). "Clinical and </w:t>
      </w:r>
      <w:proofErr w:type="spellStart"/>
      <w:r>
        <w:t>paraclinical</w:t>
      </w:r>
      <w:proofErr w:type="spellEnd"/>
      <w:r>
        <w:t xml:space="preserve"> characteristics and treatment outcomes in patients with atrial fibrillation treated with radiofrequency energy using a three-dimensional </w:t>
      </w:r>
      <w:proofErr w:type="spellStart"/>
      <w:r>
        <w:t>electroanatomic</w:t>
      </w:r>
      <w:proofErr w:type="spellEnd"/>
      <w:r>
        <w:t xml:space="preserve"> mapping system". Journal of Military </w:t>
      </w:r>
      <w:proofErr w:type="spellStart"/>
      <w:r>
        <w:t>Pharmaco</w:t>
      </w:r>
      <w:proofErr w:type="spellEnd"/>
      <w:r>
        <w:t>-Medicine, Military Medical University, Special Issue, December 2025.</w:t>
      </w:r>
    </w:p>
    <w:p w:rsidR="005651A3" w:rsidRPr="005651A3" w:rsidRDefault="005651A3" w:rsidP="005B0BA0">
      <w:pPr>
        <w:spacing w:line="340" w:lineRule="exact"/>
        <w:ind w:firstLine="284"/>
        <w:rPr>
          <w:rFonts w:eastAsia="Times New Roman"/>
        </w:rPr>
      </w:pPr>
      <w:r>
        <w:t xml:space="preserve">2. </w:t>
      </w:r>
      <w:r w:rsidR="00F8121B" w:rsidRPr="00F8121B">
        <w:t xml:space="preserve">Nguyen </w:t>
      </w:r>
      <w:proofErr w:type="spellStart"/>
      <w:r w:rsidR="00F8121B" w:rsidRPr="00F8121B">
        <w:t>Huu</w:t>
      </w:r>
      <w:proofErr w:type="spellEnd"/>
      <w:r w:rsidR="00F8121B" w:rsidRPr="00F8121B">
        <w:t xml:space="preserve"> Hong </w:t>
      </w:r>
      <w:proofErr w:type="spellStart"/>
      <w:r w:rsidR="00F8121B" w:rsidRPr="00F8121B">
        <w:t>Chuong</w:t>
      </w:r>
      <w:proofErr w:type="spellEnd"/>
      <w:r w:rsidR="00F8121B" w:rsidRPr="00F8121B">
        <w:t xml:space="preserve">, Luong Cong </w:t>
      </w:r>
      <w:proofErr w:type="spellStart"/>
      <w:r w:rsidR="00F8121B" w:rsidRPr="00F8121B">
        <w:t>Thuc</w:t>
      </w:r>
      <w:proofErr w:type="spellEnd"/>
      <w:r w:rsidR="00F8121B" w:rsidRPr="00F8121B">
        <w:t xml:space="preserve">, Pham Tran </w:t>
      </w:r>
      <w:proofErr w:type="spellStart"/>
      <w:r w:rsidR="00F8121B" w:rsidRPr="00F8121B">
        <w:t>Linh</w:t>
      </w:r>
      <w:proofErr w:type="spellEnd"/>
      <w:r w:rsidR="00F8121B" w:rsidRPr="00F8121B">
        <w:t xml:space="preserve"> </w:t>
      </w:r>
      <w:r>
        <w:t xml:space="preserve">(2025). "Investigation of left atrial morphology and plasma Matrix Metalloproteinase-2, </w:t>
      </w:r>
      <w:proofErr w:type="spellStart"/>
      <w:r>
        <w:t>Osteopontin</w:t>
      </w:r>
      <w:proofErr w:type="spellEnd"/>
      <w:r>
        <w:t>, and NT-</w:t>
      </w:r>
      <w:proofErr w:type="spellStart"/>
      <w:r>
        <w:t>proBNP</w:t>
      </w:r>
      <w:proofErr w:type="spellEnd"/>
      <w:r>
        <w:t xml:space="preserve"> concentrations in patients with atrial fibrillation treated with radiofrequency energy". Vietnam Medical Journal, Vol. 556, No. 2, November 2025.</w:t>
      </w:r>
    </w:p>
    <w:p w:rsidR="00F55346" w:rsidRPr="001B0430" w:rsidRDefault="00F55346" w:rsidP="005B0BA0">
      <w:pPr>
        <w:tabs>
          <w:tab w:val="left" w:pos="567"/>
        </w:tabs>
        <w:spacing w:line="340" w:lineRule="exact"/>
        <w:ind w:firstLine="284"/>
        <w:rPr>
          <w:szCs w:val="28"/>
          <w:lang w:val="vi-VN"/>
        </w:rPr>
      </w:pPr>
    </w:p>
    <w:sectPr w:rsidR="00F55346" w:rsidRPr="001B0430" w:rsidSect="00A12639">
      <w:type w:val="continuous"/>
      <w:pgSz w:w="8420" w:h="11907" w:orient="landscape" w:code="9"/>
      <w:pgMar w:top="1134"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7B8C" w:rsidRDefault="00797B8C" w:rsidP="00E75B07">
      <w:r>
        <w:separator/>
      </w:r>
    </w:p>
  </w:endnote>
  <w:endnote w:type="continuationSeparator" w:id="0">
    <w:p w:rsidR="00797B8C" w:rsidRDefault="00797B8C" w:rsidP="00E75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Bold">
    <w:altName w:val="Malgun Gothic Semilight"/>
    <w:panose1 w:val="02020803070505020304"/>
    <w:charset w:val="88"/>
    <w:family w:val="roman"/>
    <w:notTrueType/>
    <w:pitch w:val="default"/>
    <w:sig w:usb0="00000000" w:usb1="08080000" w:usb2="00000010" w:usb3="00000000" w:csb0="00100000"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7B8C" w:rsidRDefault="00797B8C" w:rsidP="00E75B07">
      <w:r>
        <w:separator/>
      </w:r>
    </w:p>
  </w:footnote>
  <w:footnote w:type="continuationSeparator" w:id="0">
    <w:p w:rsidR="00797B8C" w:rsidRDefault="00797B8C" w:rsidP="00E75B0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2093154610"/>
      <w:docPartObj>
        <w:docPartGallery w:val="Page Numbers (Top of Page)"/>
        <w:docPartUnique/>
      </w:docPartObj>
    </w:sdtPr>
    <w:sdtEndPr>
      <w:rPr>
        <w:rStyle w:val="PageNumber"/>
      </w:rPr>
    </w:sdtEndPr>
    <w:sdtContent>
      <w:p w:rsidR="00CD7173" w:rsidRDefault="00CD7173" w:rsidP="00A12639">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rsidR="00CD7173" w:rsidRDefault="00CD717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7173" w:rsidRDefault="00CD7173" w:rsidP="00E75B07">
    <w:pPr>
      <w:pStyle w:val="Header"/>
    </w:pPr>
  </w:p>
  <w:p w:rsidR="00CD7173" w:rsidRPr="00146776" w:rsidRDefault="00CD7173" w:rsidP="00E75B07">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7173" w:rsidRPr="00A2709D" w:rsidRDefault="00CD7173" w:rsidP="00E75B07">
    <w:pPr>
      <w:pStyle w:val="Header"/>
    </w:pPr>
    <w:r w:rsidRPr="00A2709D">
      <w:t>60</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36083059"/>
      <w:docPartObj>
        <w:docPartGallery w:val="Page Numbers (Top of Page)"/>
        <w:docPartUnique/>
      </w:docPartObj>
    </w:sdtPr>
    <w:sdtEndPr>
      <w:rPr>
        <w:rStyle w:val="PageNumber"/>
      </w:rPr>
    </w:sdtEndPr>
    <w:sdtContent>
      <w:p w:rsidR="00CD7173" w:rsidRDefault="00797B8C" w:rsidP="007240E5">
        <w:pPr>
          <w:pStyle w:val="Header"/>
          <w:framePr w:wrap="none" w:vAnchor="text" w:hAnchor="margin" w:xAlign="center" w:y="1"/>
          <w:rPr>
            <w:rStyle w:val="PageNumber"/>
          </w:rPr>
        </w:pPr>
      </w:p>
    </w:sdtContent>
  </w:sdt>
  <w:p w:rsidR="00CD7173" w:rsidRDefault="00CD7173" w:rsidP="001B0347">
    <w:pPr>
      <w:pStyle w:val="Header"/>
      <w:ind w:firstLine="0"/>
    </w:pPr>
  </w:p>
  <w:p w:rsidR="00CD7173" w:rsidRPr="00761A45" w:rsidRDefault="00CD7173" w:rsidP="00761A45">
    <w:pPr>
      <w:pStyle w:val="Header"/>
      <w:ind w:firstLine="0"/>
      <w:rPr>
        <w:lang w:val="vi-V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1" w15:restartNumberingAfterBreak="0">
    <w:nsid w:val="02DD7CA8"/>
    <w:multiLevelType w:val="hybridMultilevel"/>
    <w:tmpl w:val="99109D3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2E00888"/>
    <w:multiLevelType w:val="hybridMultilevel"/>
    <w:tmpl w:val="045A68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F4E6C"/>
    <w:multiLevelType w:val="hybridMultilevel"/>
    <w:tmpl w:val="EB06F522"/>
    <w:lvl w:ilvl="0" w:tplc="AA60A54C">
      <w:start w:val="2"/>
      <w:numFmt w:val="bullet"/>
      <w:lvlText w:val="-"/>
      <w:lvlJc w:val="left"/>
      <w:pPr>
        <w:ind w:left="990" w:hanging="360"/>
      </w:pPr>
      <w:rPr>
        <w:rFonts w:ascii="Times New Roman" w:eastAsia="Times New Roman" w:hAnsi="Times New Roman" w:cs="Times New Roman" w:hint="default"/>
        <w:b w:val="0"/>
        <w:i w:val="0"/>
        <w:color w:val="000000" w:themeColor="text1"/>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C4F5FAD"/>
    <w:multiLevelType w:val="hybridMultilevel"/>
    <w:tmpl w:val="6EFAFFBC"/>
    <w:lvl w:ilvl="0" w:tplc="717410F2">
      <w:start w:val="3"/>
      <w:numFmt w:val="bullet"/>
      <w:lvlText w:val="-"/>
      <w:lvlJc w:val="left"/>
      <w:pPr>
        <w:ind w:left="720" w:hanging="360"/>
      </w:pPr>
      <w:rPr>
        <w:rFonts w:ascii="Cambria" w:eastAsiaTheme="minorHAnsi" w:hAnsi="Cambria" w:cstheme="majorHAnsi"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14497ABC"/>
    <w:multiLevelType w:val="hybridMultilevel"/>
    <w:tmpl w:val="9C3C0F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6FD14E0"/>
    <w:multiLevelType w:val="hybridMultilevel"/>
    <w:tmpl w:val="E828E24A"/>
    <w:lvl w:ilvl="0" w:tplc="E842C61C">
      <w:start w:val="1"/>
      <w:numFmt w:val="decimal"/>
      <w:lvlText w:val="%1."/>
      <w:lvlJc w:val="left"/>
      <w:pPr>
        <w:ind w:left="720" w:hanging="360"/>
      </w:pPr>
      <w:rPr>
        <w:b w:val="0"/>
        <w:bCs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1FFF41C4"/>
    <w:multiLevelType w:val="multilevel"/>
    <w:tmpl w:val="9A542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3830EF"/>
    <w:multiLevelType w:val="hybridMultilevel"/>
    <w:tmpl w:val="17DA6680"/>
    <w:lvl w:ilvl="0" w:tplc="7A8AA672">
      <w:start w:val="16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0B20D79"/>
    <w:multiLevelType w:val="hybridMultilevel"/>
    <w:tmpl w:val="76E46FC2"/>
    <w:lvl w:ilvl="0" w:tplc="0D1AE3AA">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28E52587"/>
    <w:multiLevelType w:val="hybridMultilevel"/>
    <w:tmpl w:val="AA343D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B3551D5"/>
    <w:multiLevelType w:val="hybridMultilevel"/>
    <w:tmpl w:val="D090D12C"/>
    <w:lvl w:ilvl="0" w:tplc="FCD2C668">
      <w:start w:val="3"/>
      <w:numFmt w:val="bullet"/>
      <w:lvlText w:val="-"/>
      <w:lvlJc w:val="left"/>
      <w:pPr>
        <w:ind w:left="1494"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4EB4D72"/>
    <w:multiLevelType w:val="multilevel"/>
    <w:tmpl w:val="175C8E66"/>
    <w:lvl w:ilvl="0">
      <w:start w:val="1"/>
      <w:numFmt w:val="decimal"/>
      <w:pStyle w:val="Heading1"/>
      <w:lvlText w:val="%1."/>
      <w:lvlJc w:val="left"/>
      <w:pPr>
        <w:ind w:left="432" w:hanging="432"/>
      </w:pPr>
      <w:rPr>
        <w:rFonts w:hint="default"/>
        <w:color w:val="FFFFFF" w:themeColor="background1"/>
      </w:rPr>
    </w:lvl>
    <w:lvl w:ilvl="1">
      <w:start w:val="1"/>
      <w:numFmt w:val="decimal"/>
      <w:pStyle w:val="Heading2"/>
      <w:lvlText w:val="%1.%2."/>
      <w:lvlJc w:val="left"/>
      <w:pPr>
        <w:ind w:left="576" w:hanging="576"/>
      </w:pPr>
      <w:rPr>
        <w:rFonts w:hint="default"/>
        <w:i w:val="0"/>
        <w:iCs/>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b w:val="0"/>
        <w:bCs w:val="0"/>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3BAD1BC5"/>
    <w:multiLevelType w:val="hybridMultilevel"/>
    <w:tmpl w:val="00B8FEDE"/>
    <w:lvl w:ilvl="0" w:tplc="17E85EE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24751E6"/>
    <w:multiLevelType w:val="hybridMultilevel"/>
    <w:tmpl w:val="0400B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6410BB"/>
    <w:multiLevelType w:val="hybridMultilevel"/>
    <w:tmpl w:val="DBBE86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A62628B"/>
    <w:multiLevelType w:val="hybridMultilevel"/>
    <w:tmpl w:val="75245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824F77"/>
    <w:multiLevelType w:val="hybridMultilevel"/>
    <w:tmpl w:val="72744AB4"/>
    <w:lvl w:ilvl="0" w:tplc="162A9FD6">
      <w:start w:val="1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9D798B"/>
    <w:multiLevelType w:val="hybridMultilevel"/>
    <w:tmpl w:val="971CAF44"/>
    <w:lvl w:ilvl="0" w:tplc="5F98E158">
      <w:start w:val="1"/>
      <w:numFmt w:val="decimal"/>
      <w:lvlText w:val="%1."/>
      <w:lvlJc w:val="left"/>
      <w:pPr>
        <w:ind w:left="1287" w:hanging="360"/>
      </w:pPr>
      <w:rPr>
        <w:b/>
        <w:bCs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15:restartNumberingAfterBreak="0">
    <w:nsid w:val="53250152"/>
    <w:multiLevelType w:val="hybridMultilevel"/>
    <w:tmpl w:val="79F2A5F0"/>
    <w:lvl w:ilvl="0" w:tplc="6FBCD97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9805277"/>
    <w:multiLevelType w:val="hybridMultilevel"/>
    <w:tmpl w:val="CAE0AB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2B636F3"/>
    <w:multiLevelType w:val="hybridMultilevel"/>
    <w:tmpl w:val="FD741246"/>
    <w:lvl w:ilvl="0" w:tplc="4588D6DA">
      <w:start w:val="1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1FC13DA"/>
    <w:multiLevelType w:val="multilevel"/>
    <w:tmpl w:val="538EF97A"/>
    <w:lvl w:ilvl="0">
      <w:start w:val="3"/>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pStyle w:val="NgocAnh3"/>
      <w:lvlText w:val="%1.%2.%3."/>
      <w:lvlJc w:val="left"/>
      <w:pPr>
        <w:ind w:left="639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77AC474D"/>
    <w:multiLevelType w:val="multilevel"/>
    <w:tmpl w:val="29E8FC8A"/>
    <w:lvl w:ilvl="0">
      <w:start w:val="1"/>
      <w:numFmt w:val="decimal"/>
      <w:lvlText w:val="%1."/>
      <w:lvlJc w:val="left"/>
      <w:pPr>
        <w:ind w:left="785" w:hanging="360"/>
      </w:p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24" w15:restartNumberingAfterBreak="0">
    <w:nsid w:val="7BB102B7"/>
    <w:multiLevelType w:val="hybridMultilevel"/>
    <w:tmpl w:val="8C6A59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17"/>
  </w:num>
  <w:num w:numId="3">
    <w:abstractNumId w:val="2"/>
  </w:num>
  <w:num w:numId="4">
    <w:abstractNumId w:val="11"/>
  </w:num>
  <w:num w:numId="5">
    <w:abstractNumId w:val="3"/>
  </w:num>
  <w:num w:numId="6">
    <w:abstractNumId w:val="12"/>
  </w:num>
  <w:num w:numId="7">
    <w:abstractNumId w:val="6"/>
  </w:num>
  <w:num w:numId="8">
    <w:abstractNumId w:val="18"/>
  </w:num>
  <w:num w:numId="9">
    <w:abstractNumId w:val="10"/>
  </w:num>
  <w:num w:numId="10">
    <w:abstractNumId w:val="5"/>
  </w:num>
  <w:num w:numId="11">
    <w:abstractNumId w:val="20"/>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4"/>
  </w:num>
  <w:num w:numId="15">
    <w:abstractNumId w:val="16"/>
  </w:num>
  <w:num w:numId="16">
    <w:abstractNumId w:val="12"/>
    <w:lvlOverride w:ilvl="0">
      <w:startOverride w:val="2"/>
    </w:lvlOverride>
    <w:lvlOverride w:ilvl="1">
      <w:startOverride w:val="1"/>
    </w:lvlOverride>
  </w:num>
  <w:num w:numId="17">
    <w:abstractNumId w:val="21"/>
  </w:num>
  <w:num w:numId="18">
    <w:abstractNumId w:val="19"/>
  </w:num>
  <w:num w:numId="19">
    <w:abstractNumId w:val="13"/>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5"/>
  </w:num>
  <w:num w:numId="24">
    <w:abstractNumId w:val="23"/>
  </w:num>
  <w:num w:numId="25">
    <w:abstractNumId w:val="7"/>
  </w:num>
  <w:num w:numId="26">
    <w:abstractNumId w:val="22"/>
  </w:num>
  <w:num w:numId="27">
    <w:abstractNumId w:val="4"/>
  </w:num>
  <w:num w:numId="28">
    <w:abstractNumId w:val="9"/>
  </w:num>
  <w:num w:numId="29">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activeWritingStyle w:appName="MSWord" w:lang="en-US" w:vendorID="64" w:dllVersion="0" w:nlCheck="1" w:checkStyle="0"/>
  <w:activeWritingStyle w:appName="MSWord" w:lang="da-DK" w:vendorID="64" w:dllVersion="0" w:nlCheck="1" w:checkStyle="0"/>
  <w:activeWritingStyle w:appName="MSWord" w:lang="es-ES" w:vendorID="64" w:dllVersion="0" w:nlCheck="1" w:checkStyle="0"/>
  <w:activeWritingStyle w:appName="MSWord" w:lang="en-GB" w:vendorID="64" w:dllVersion="0" w:nlCheck="1" w:checkStyle="0"/>
  <w:activeWritingStyle w:appName="MSWord" w:lang="nl-NL" w:vendorID="64" w:dllVersion="0" w:nlCheck="1" w:checkStyle="0"/>
  <w:activeWritingStyle w:appName="MSWord" w:lang="sv-SE" w:vendorID="64" w:dllVersion="0" w:nlCheck="1" w:checkStyle="0"/>
  <w:activeWritingStyle w:appName="MSWord" w:lang="en-US" w:vendorID="64" w:dllVersion="4096" w:nlCheck="1" w:checkStyle="0"/>
  <w:activeWritingStyle w:appName="MSWord" w:lang="es-E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fr-FR"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es-ES" w:vendorID="64" w:dllVersion="131078" w:nlCheck="1" w:checkStyle="0"/>
  <w:proofState w:spelling="clean" w:grammar="clean"/>
  <w:defaultTabStop w:val="720"/>
  <w:bookFoldPrinting/>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050"/>
    <w:rsid w:val="000001FE"/>
    <w:rsid w:val="00000265"/>
    <w:rsid w:val="000008CF"/>
    <w:rsid w:val="00000B37"/>
    <w:rsid w:val="00000D99"/>
    <w:rsid w:val="00000FA7"/>
    <w:rsid w:val="0000117B"/>
    <w:rsid w:val="000011B9"/>
    <w:rsid w:val="0000141D"/>
    <w:rsid w:val="000014A4"/>
    <w:rsid w:val="00001622"/>
    <w:rsid w:val="00001702"/>
    <w:rsid w:val="0000170D"/>
    <w:rsid w:val="00001873"/>
    <w:rsid w:val="000019E2"/>
    <w:rsid w:val="00001A62"/>
    <w:rsid w:val="00001C82"/>
    <w:rsid w:val="00001C99"/>
    <w:rsid w:val="00001E06"/>
    <w:rsid w:val="0000237D"/>
    <w:rsid w:val="000025E7"/>
    <w:rsid w:val="00002602"/>
    <w:rsid w:val="00002656"/>
    <w:rsid w:val="00002875"/>
    <w:rsid w:val="000028E8"/>
    <w:rsid w:val="00002970"/>
    <w:rsid w:val="00002B9C"/>
    <w:rsid w:val="000032A2"/>
    <w:rsid w:val="00003619"/>
    <w:rsid w:val="00003862"/>
    <w:rsid w:val="0000388A"/>
    <w:rsid w:val="000038BE"/>
    <w:rsid w:val="000038D5"/>
    <w:rsid w:val="000038ED"/>
    <w:rsid w:val="00003B1D"/>
    <w:rsid w:val="00003C27"/>
    <w:rsid w:val="00003C5A"/>
    <w:rsid w:val="00003E0D"/>
    <w:rsid w:val="00003E8E"/>
    <w:rsid w:val="0000432D"/>
    <w:rsid w:val="00004441"/>
    <w:rsid w:val="0000451F"/>
    <w:rsid w:val="000045BB"/>
    <w:rsid w:val="000046D2"/>
    <w:rsid w:val="00004990"/>
    <w:rsid w:val="00004B1E"/>
    <w:rsid w:val="00004BBB"/>
    <w:rsid w:val="00004D33"/>
    <w:rsid w:val="00005074"/>
    <w:rsid w:val="000050B8"/>
    <w:rsid w:val="00005366"/>
    <w:rsid w:val="0000551B"/>
    <w:rsid w:val="00005804"/>
    <w:rsid w:val="000059C0"/>
    <w:rsid w:val="00005A18"/>
    <w:rsid w:val="00005A1C"/>
    <w:rsid w:val="00005B2A"/>
    <w:rsid w:val="00005D12"/>
    <w:rsid w:val="0000620D"/>
    <w:rsid w:val="00006627"/>
    <w:rsid w:val="00006648"/>
    <w:rsid w:val="000067BD"/>
    <w:rsid w:val="00006EC7"/>
    <w:rsid w:val="00007126"/>
    <w:rsid w:val="00007293"/>
    <w:rsid w:val="0000757B"/>
    <w:rsid w:val="0000794A"/>
    <w:rsid w:val="00007A85"/>
    <w:rsid w:val="00007B8C"/>
    <w:rsid w:val="00007CB9"/>
    <w:rsid w:val="00007D6E"/>
    <w:rsid w:val="00007E24"/>
    <w:rsid w:val="0001003E"/>
    <w:rsid w:val="000100F2"/>
    <w:rsid w:val="000103F6"/>
    <w:rsid w:val="00010430"/>
    <w:rsid w:val="00010611"/>
    <w:rsid w:val="00010A0A"/>
    <w:rsid w:val="00010AB4"/>
    <w:rsid w:val="00010B04"/>
    <w:rsid w:val="00010DD5"/>
    <w:rsid w:val="00011230"/>
    <w:rsid w:val="000113EC"/>
    <w:rsid w:val="0001144D"/>
    <w:rsid w:val="00011553"/>
    <w:rsid w:val="00011661"/>
    <w:rsid w:val="000116B9"/>
    <w:rsid w:val="0001175B"/>
    <w:rsid w:val="000117C2"/>
    <w:rsid w:val="00011883"/>
    <w:rsid w:val="00011A2E"/>
    <w:rsid w:val="00011AE3"/>
    <w:rsid w:val="00011BE3"/>
    <w:rsid w:val="00011D23"/>
    <w:rsid w:val="00011F15"/>
    <w:rsid w:val="000120BA"/>
    <w:rsid w:val="00012382"/>
    <w:rsid w:val="00012596"/>
    <w:rsid w:val="000125E7"/>
    <w:rsid w:val="0001262A"/>
    <w:rsid w:val="0001271F"/>
    <w:rsid w:val="00012805"/>
    <w:rsid w:val="000128AA"/>
    <w:rsid w:val="00012954"/>
    <w:rsid w:val="00012B55"/>
    <w:rsid w:val="00012EFA"/>
    <w:rsid w:val="00012F9C"/>
    <w:rsid w:val="0001367D"/>
    <w:rsid w:val="000136C8"/>
    <w:rsid w:val="0001377C"/>
    <w:rsid w:val="00013BD3"/>
    <w:rsid w:val="00013EBA"/>
    <w:rsid w:val="0001403A"/>
    <w:rsid w:val="00014445"/>
    <w:rsid w:val="000144D0"/>
    <w:rsid w:val="00014551"/>
    <w:rsid w:val="00014909"/>
    <w:rsid w:val="00014B2B"/>
    <w:rsid w:val="00014C59"/>
    <w:rsid w:val="00014C63"/>
    <w:rsid w:val="00014C65"/>
    <w:rsid w:val="00014FEF"/>
    <w:rsid w:val="0001580E"/>
    <w:rsid w:val="00015840"/>
    <w:rsid w:val="0001591B"/>
    <w:rsid w:val="00015A93"/>
    <w:rsid w:val="00015B24"/>
    <w:rsid w:val="00015C2A"/>
    <w:rsid w:val="00015CFA"/>
    <w:rsid w:val="00015D77"/>
    <w:rsid w:val="00015E4E"/>
    <w:rsid w:val="00015E7C"/>
    <w:rsid w:val="00015F67"/>
    <w:rsid w:val="00016114"/>
    <w:rsid w:val="0001624E"/>
    <w:rsid w:val="00016275"/>
    <w:rsid w:val="00016354"/>
    <w:rsid w:val="0001648A"/>
    <w:rsid w:val="00016802"/>
    <w:rsid w:val="00016A11"/>
    <w:rsid w:val="00016FD8"/>
    <w:rsid w:val="000170AF"/>
    <w:rsid w:val="00017173"/>
    <w:rsid w:val="000173E1"/>
    <w:rsid w:val="0001754B"/>
    <w:rsid w:val="000176A1"/>
    <w:rsid w:val="000178ED"/>
    <w:rsid w:val="00017BEC"/>
    <w:rsid w:val="00017E2B"/>
    <w:rsid w:val="00017E79"/>
    <w:rsid w:val="0002005C"/>
    <w:rsid w:val="0002027A"/>
    <w:rsid w:val="000206AF"/>
    <w:rsid w:val="000206C5"/>
    <w:rsid w:val="000206F2"/>
    <w:rsid w:val="00020999"/>
    <w:rsid w:val="00020BE3"/>
    <w:rsid w:val="00020E5D"/>
    <w:rsid w:val="00020F36"/>
    <w:rsid w:val="00020F38"/>
    <w:rsid w:val="000210EC"/>
    <w:rsid w:val="00021920"/>
    <w:rsid w:val="00021937"/>
    <w:rsid w:val="00021B6A"/>
    <w:rsid w:val="00021DA5"/>
    <w:rsid w:val="000220CA"/>
    <w:rsid w:val="00022263"/>
    <w:rsid w:val="00022453"/>
    <w:rsid w:val="00022AEB"/>
    <w:rsid w:val="00022C48"/>
    <w:rsid w:val="00022C5C"/>
    <w:rsid w:val="00022E21"/>
    <w:rsid w:val="00022FAF"/>
    <w:rsid w:val="0002300E"/>
    <w:rsid w:val="00023176"/>
    <w:rsid w:val="0002333D"/>
    <w:rsid w:val="000234A6"/>
    <w:rsid w:val="00023577"/>
    <w:rsid w:val="00023634"/>
    <w:rsid w:val="00023882"/>
    <w:rsid w:val="000239EF"/>
    <w:rsid w:val="00023B68"/>
    <w:rsid w:val="00023FE3"/>
    <w:rsid w:val="00024111"/>
    <w:rsid w:val="000248F6"/>
    <w:rsid w:val="00024A22"/>
    <w:rsid w:val="00024B03"/>
    <w:rsid w:val="00024C33"/>
    <w:rsid w:val="00024E8A"/>
    <w:rsid w:val="0002506E"/>
    <w:rsid w:val="00025279"/>
    <w:rsid w:val="0002531A"/>
    <w:rsid w:val="000256B2"/>
    <w:rsid w:val="000256B4"/>
    <w:rsid w:val="00025863"/>
    <w:rsid w:val="00025D68"/>
    <w:rsid w:val="00025D8A"/>
    <w:rsid w:val="0002607F"/>
    <w:rsid w:val="000261E4"/>
    <w:rsid w:val="00026251"/>
    <w:rsid w:val="00026329"/>
    <w:rsid w:val="00026398"/>
    <w:rsid w:val="00026993"/>
    <w:rsid w:val="00026ADE"/>
    <w:rsid w:val="00026B17"/>
    <w:rsid w:val="00026B86"/>
    <w:rsid w:val="00026C61"/>
    <w:rsid w:val="00026E2A"/>
    <w:rsid w:val="00026E2E"/>
    <w:rsid w:val="00026F3B"/>
    <w:rsid w:val="000272BB"/>
    <w:rsid w:val="000272E1"/>
    <w:rsid w:val="0002733D"/>
    <w:rsid w:val="0002773A"/>
    <w:rsid w:val="0002787F"/>
    <w:rsid w:val="00027901"/>
    <w:rsid w:val="00027AFD"/>
    <w:rsid w:val="00027F6B"/>
    <w:rsid w:val="00027FC7"/>
    <w:rsid w:val="000301F1"/>
    <w:rsid w:val="00030309"/>
    <w:rsid w:val="0003039A"/>
    <w:rsid w:val="00030499"/>
    <w:rsid w:val="00030559"/>
    <w:rsid w:val="0003074E"/>
    <w:rsid w:val="00030768"/>
    <w:rsid w:val="000307E3"/>
    <w:rsid w:val="00030BD2"/>
    <w:rsid w:val="00030CAA"/>
    <w:rsid w:val="00030CCB"/>
    <w:rsid w:val="00031189"/>
    <w:rsid w:val="00031295"/>
    <w:rsid w:val="000312C9"/>
    <w:rsid w:val="000314D3"/>
    <w:rsid w:val="000316D3"/>
    <w:rsid w:val="000317DE"/>
    <w:rsid w:val="000318D4"/>
    <w:rsid w:val="0003197E"/>
    <w:rsid w:val="00031B1F"/>
    <w:rsid w:val="00031C2B"/>
    <w:rsid w:val="00031C54"/>
    <w:rsid w:val="00031ECC"/>
    <w:rsid w:val="0003265B"/>
    <w:rsid w:val="0003284F"/>
    <w:rsid w:val="00032C5E"/>
    <w:rsid w:val="0003309B"/>
    <w:rsid w:val="00033205"/>
    <w:rsid w:val="000334B2"/>
    <w:rsid w:val="0003353A"/>
    <w:rsid w:val="000336CA"/>
    <w:rsid w:val="000338A8"/>
    <w:rsid w:val="00033A6D"/>
    <w:rsid w:val="00033AD7"/>
    <w:rsid w:val="00033AE4"/>
    <w:rsid w:val="00033B99"/>
    <w:rsid w:val="00033C33"/>
    <w:rsid w:val="00033CA2"/>
    <w:rsid w:val="00033E4A"/>
    <w:rsid w:val="000344FC"/>
    <w:rsid w:val="00034583"/>
    <w:rsid w:val="000346E9"/>
    <w:rsid w:val="0003476F"/>
    <w:rsid w:val="000347D3"/>
    <w:rsid w:val="00034947"/>
    <w:rsid w:val="0003498C"/>
    <w:rsid w:val="000349AB"/>
    <w:rsid w:val="00034A1D"/>
    <w:rsid w:val="00034CA1"/>
    <w:rsid w:val="00034CB5"/>
    <w:rsid w:val="00034CD0"/>
    <w:rsid w:val="00034D8C"/>
    <w:rsid w:val="00034F7B"/>
    <w:rsid w:val="00035266"/>
    <w:rsid w:val="00035489"/>
    <w:rsid w:val="000354EF"/>
    <w:rsid w:val="000355D6"/>
    <w:rsid w:val="00035C0E"/>
    <w:rsid w:val="00035D1B"/>
    <w:rsid w:val="00035DDA"/>
    <w:rsid w:val="000360E0"/>
    <w:rsid w:val="000363AE"/>
    <w:rsid w:val="000363B8"/>
    <w:rsid w:val="00036494"/>
    <w:rsid w:val="00036555"/>
    <w:rsid w:val="0003658F"/>
    <w:rsid w:val="00036777"/>
    <w:rsid w:val="00036834"/>
    <w:rsid w:val="00036842"/>
    <w:rsid w:val="0003693C"/>
    <w:rsid w:val="00036B95"/>
    <w:rsid w:val="000370D0"/>
    <w:rsid w:val="00037218"/>
    <w:rsid w:val="00037269"/>
    <w:rsid w:val="0003765F"/>
    <w:rsid w:val="000378C2"/>
    <w:rsid w:val="000378FD"/>
    <w:rsid w:val="00037A3D"/>
    <w:rsid w:val="00037BA0"/>
    <w:rsid w:val="00037F61"/>
    <w:rsid w:val="0004002D"/>
    <w:rsid w:val="0004008B"/>
    <w:rsid w:val="000403C0"/>
    <w:rsid w:val="00040453"/>
    <w:rsid w:val="00040559"/>
    <w:rsid w:val="00040862"/>
    <w:rsid w:val="00040AF1"/>
    <w:rsid w:val="00040E6C"/>
    <w:rsid w:val="000410B7"/>
    <w:rsid w:val="000413E1"/>
    <w:rsid w:val="00041715"/>
    <w:rsid w:val="0004173B"/>
    <w:rsid w:val="00041874"/>
    <w:rsid w:val="00041955"/>
    <w:rsid w:val="000419A0"/>
    <w:rsid w:val="00041A2B"/>
    <w:rsid w:val="00041A6D"/>
    <w:rsid w:val="00041AC2"/>
    <w:rsid w:val="00041DD0"/>
    <w:rsid w:val="00041E07"/>
    <w:rsid w:val="00041EE9"/>
    <w:rsid w:val="00041F1A"/>
    <w:rsid w:val="0004200F"/>
    <w:rsid w:val="0004210F"/>
    <w:rsid w:val="0004236A"/>
    <w:rsid w:val="00042400"/>
    <w:rsid w:val="0004270B"/>
    <w:rsid w:val="0004278D"/>
    <w:rsid w:val="00042A4C"/>
    <w:rsid w:val="00042DBF"/>
    <w:rsid w:val="00042E42"/>
    <w:rsid w:val="00042F6E"/>
    <w:rsid w:val="00042F78"/>
    <w:rsid w:val="000431BE"/>
    <w:rsid w:val="000431DB"/>
    <w:rsid w:val="00043431"/>
    <w:rsid w:val="00043453"/>
    <w:rsid w:val="0004346D"/>
    <w:rsid w:val="0004352C"/>
    <w:rsid w:val="00043691"/>
    <w:rsid w:val="000436F0"/>
    <w:rsid w:val="00043743"/>
    <w:rsid w:val="00043973"/>
    <w:rsid w:val="00043BF7"/>
    <w:rsid w:val="00043C70"/>
    <w:rsid w:val="00043D45"/>
    <w:rsid w:val="00043FC8"/>
    <w:rsid w:val="000440D8"/>
    <w:rsid w:val="0004449A"/>
    <w:rsid w:val="00044697"/>
    <w:rsid w:val="00044E2C"/>
    <w:rsid w:val="00044E76"/>
    <w:rsid w:val="00044EA9"/>
    <w:rsid w:val="0004501B"/>
    <w:rsid w:val="00045208"/>
    <w:rsid w:val="00045281"/>
    <w:rsid w:val="00045492"/>
    <w:rsid w:val="00045616"/>
    <w:rsid w:val="0004567A"/>
    <w:rsid w:val="00045727"/>
    <w:rsid w:val="0004576B"/>
    <w:rsid w:val="00045B2D"/>
    <w:rsid w:val="00045E48"/>
    <w:rsid w:val="00045EB3"/>
    <w:rsid w:val="0004601A"/>
    <w:rsid w:val="000461CC"/>
    <w:rsid w:val="00046375"/>
    <w:rsid w:val="00046569"/>
    <w:rsid w:val="00046737"/>
    <w:rsid w:val="000467C6"/>
    <w:rsid w:val="000467EB"/>
    <w:rsid w:val="000468F6"/>
    <w:rsid w:val="00046978"/>
    <w:rsid w:val="00046A17"/>
    <w:rsid w:val="00046E84"/>
    <w:rsid w:val="00047047"/>
    <w:rsid w:val="00047409"/>
    <w:rsid w:val="000474BB"/>
    <w:rsid w:val="00047896"/>
    <w:rsid w:val="00047B14"/>
    <w:rsid w:val="00047B44"/>
    <w:rsid w:val="00050679"/>
    <w:rsid w:val="000507E2"/>
    <w:rsid w:val="00050909"/>
    <w:rsid w:val="00050AC3"/>
    <w:rsid w:val="0005111B"/>
    <w:rsid w:val="0005117F"/>
    <w:rsid w:val="00051346"/>
    <w:rsid w:val="00051903"/>
    <w:rsid w:val="00051BB1"/>
    <w:rsid w:val="00051DD6"/>
    <w:rsid w:val="00051FCE"/>
    <w:rsid w:val="000525C9"/>
    <w:rsid w:val="0005276C"/>
    <w:rsid w:val="000528BA"/>
    <w:rsid w:val="000528CB"/>
    <w:rsid w:val="00052B75"/>
    <w:rsid w:val="00052FAC"/>
    <w:rsid w:val="00052FFF"/>
    <w:rsid w:val="0005302C"/>
    <w:rsid w:val="000531FA"/>
    <w:rsid w:val="00053217"/>
    <w:rsid w:val="000532AB"/>
    <w:rsid w:val="000532E3"/>
    <w:rsid w:val="000534E1"/>
    <w:rsid w:val="00053509"/>
    <w:rsid w:val="00053622"/>
    <w:rsid w:val="00053F8A"/>
    <w:rsid w:val="00054231"/>
    <w:rsid w:val="000543EF"/>
    <w:rsid w:val="0005458C"/>
    <w:rsid w:val="0005474A"/>
    <w:rsid w:val="000547F5"/>
    <w:rsid w:val="0005497B"/>
    <w:rsid w:val="00054B60"/>
    <w:rsid w:val="00054B80"/>
    <w:rsid w:val="00054BA0"/>
    <w:rsid w:val="00054EA2"/>
    <w:rsid w:val="00054EA8"/>
    <w:rsid w:val="000550C2"/>
    <w:rsid w:val="00055159"/>
    <w:rsid w:val="00055254"/>
    <w:rsid w:val="000555C1"/>
    <w:rsid w:val="00055970"/>
    <w:rsid w:val="00055ACF"/>
    <w:rsid w:val="00055CBC"/>
    <w:rsid w:val="00055D15"/>
    <w:rsid w:val="00055E97"/>
    <w:rsid w:val="00055FA2"/>
    <w:rsid w:val="00056016"/>
    <w:rsid w:val="00056061"/>
    <w:rsid w:val="00056070"/>
    <w:rsid w:val="0005610B"/>
    <w:rsid w:val="0005618C"/>
    <w:rsid w:val="000561CC"/>
    <w:rsid w:val="0005639A"/>
    <w:rsid w:val="00056663"/>
    <w:rsid w:val="00056A35"/>
    <w:rsid w:val="00056BB2"/>
    <w:rsid w:val="00056C42"/>
    <w:rsid w:val="00056E01"/>
    <w:rsid w:val="00056F0E"/>
    <w:rsid w:val="000576C4"/>
    <w:rsid w:val="00057833"/>
    <w:rsid w:val="0005792C"/>
    <w:rsid w:val="00057959"/>
    <w:rsid w:val="00057AB9"/>
    <w:rsid w:val="00057BFB"/>
    <w:rsid w:val="00057CB2"/>
    <w:rsid w:val="0006028B"/>
    <w:rsid w:val="00060396"/>
    <w:rsid w:val="00060563"/>
    <w:rsid w:val="0006070F"/>
    <w:rsid w:val="000608AE"/>
    <w:rsid w:val="00060BE4"/>
    <w:rsid w:val="00060CBC"/>
    <w:rsid w:val="000611DD"/>
    <w:rsid w:val="0006120C"/>
    <w:rsid w:val="0006137F"/>
    <w:rsid w:val="000614D2"/>
    <w:rsid w:val="000615D1"/>
    <w:rsid w:val="00061767"/>
    <w:rsid w:val="00061850"/>
    <w:rsid w:val="00061B50"/>
    <w:rsid w:val="00061F41"/>
    <w:rsid w:val="000621F1"/>
    <w:rsid w:val="00062201"/>
    <w:rsid w:val="00062566"/>
    <w:rsid w:val="00062689"/>
    <w:rsid w:val="00062749"/>
    <w:rsid w:val="0006278A"/>
    <w:rsid w:val="00062BCF"/>
    <w:rsid w:val="00062C9D"/>
    <w:rsid w:val="0006306B"/>
    <w:rsid w:val="00063151"/>
    <w:rsid w:val="0006316E"/>
    <w:rsid w:val="000632A6"/>
    <w:rsid w:val="0006369E"/>
    <w:rsid w:val="00063CEB"/>
    <w:rsid w:val="00063F71"/>
    <w:rsid w:val="00063FF1"/>
    <w:rsid w:val="000641BA"/>
    <w:rsid w:val="00064AC7"/>
    <w:rsid w:val="00064AE9"/>
    <w:rsid w:val="00064B70"/>
    <w:rsid w:val="00064BFA"/>
    <w:rsid w:val="00064D46"/>
    <w:rsid w:val="000653E7"/>
    <w:rsid w:val="00065581"/>
    <w:rsid w:val="00065AA1"/>
    <w:rsid w:val="00065C60"/>
    <w:rsid w:val="00065F7F"/>
    <w:rsid w:val="00065F82"/>
    <w:rsid w:val="0006643E"/>
    <w:rsid w:val="0006665D"/>
    <w:rsid w:val="00066669"/>
    <w:rsid w:val="000666D7"/>
    <w:rsid w:val="00066BAF"/>
    <w:rsid w:val="00066E1B"/>
    <w:rsid w:val="00066F80"/>
    <w:rsid w:val="0006701F"/>
    <w:rsid w:val="00067137"/>
    <w:rsid w:val="00067200"/>
    <w:rsid w:val="000672DA"/>
    <w:rsid w:val="00067406"/>
    <w:rsid w:val="00067445"/>
    <w:rsid w:val="000675C5"/>
    <w:rsid w:val="00067A8A"/>
    <w:rsid w:val="00067C58"/>
    <w:rsid w:val="00067C7A"/>
    <w:rsid w:val="00067DBC"/>
    <w:rsid w:val="00067E95"/>
    <w:rsid w:val="000700A0"/>
    <w:rsid w:val="0007026C"/>
    <w:rsid w:val="00070620"/>
    <w:rsid w:val="00070804"/>
    <w:rsid w:val="0007083F"/>
    <w:rsid w:val="00070C32"/>
    <w:rsid w:val="00070CCD"/>
    <w:rsid w:val="00070D0F"/>
    <w:rsid w:val="00070D4B"/>
    <w:rsid w:val="00070DDF"/>
    <w:rsid w:val="00070F3C"/>
    <w:rsid w:val="000711E0"/>
    <w:rsid w:val="00071245"/>
    <w:rsid w:val="0007152A"/>
    <w:rsid w:val="000715DE"/>
    <w:rsid w:val="00071707"/>
    <w:rsid w:val="000717C7"/>
    <w:rsid w:val="0007194D"/>
    <w:rsid w:val="00071FE2"/>
    <w:rsid w:val="0007248E"/>
    <w:rsid w:val="00072DC4"/>
    <w:rsid w:val="00072FFA"/>
    <w:rsid w:val="0007303C"/>
    <w:rsid w:val="0007338A"/>
    <w:rsid w:val="0007379D"/>
    <w:rsid w:val="00073858"/>
    <w:rsid w:val="000738E8"/>
    <w:rsid w:val="00073951"/>
    <w:rsid w:val="00073C67"/>
    <w:rsid w:val="00073D29"/>
    <w:rsid w:val="00073EDD"/>
    <w:rsid w:val="0007402A"/>
    <w:rsid w:val="0007408D"/>
    <w:rsid w:val="000743AD"/>
    <w:rsid w:val="00074461"/>
    <w:rsid w:val="000744F1"/>
    <w:rsid w:val="000748E2"/>
    <w:rsid w:val="00074A7B"/>
    <w:rsid w:val="00074B0D"/>
    <w:rsid w:val="00074C9C"/>
    <w:rsid w:val="000753E3"/>
    <w:rsid w:val="0007540D"/>
    <w:rsid w:val="00075526"/>
    <w:rsid w:val="00075580"/>
    <w:rsid w:val="00075595"/>
    <w:rsid w:val="000757EA"/>
    <w:rsid w:val="00075816"/>
    <w:rsid w:val="0007597A"/>
    <w:rsid w:val="00075A25"/>
    <w:rsid w:val="00075E40"/>
    <w:rsid w:val="00075EB9"/>
    <w:rsid w:val="00075F0B"/>
    <w:rsid w:val="000760C1"/>
    <w:rsid w:val="000760DC"/>
    <w:rsid w:val="000760FB"/>
    <w:rsid w:val="0007618C"/>
    <w:rsid w:val="00076241"/>
    <w:rsid w:val="0007635A"/>
    <w:rsid w:val="0007639D"/>
    <w:rsid w:val="000765ED"/>
    <w:rsid w:val="00076966"/>
    <w:rsid w:val="00076A65"/>
    <w:rsid w:val="00076CD0"/>
    <w:rsid w:val="00076D90"/>
    <w:rsid w:val="00076F60"/>
    <w:rsid w:val="00076FD9"/>
    <w:rsid w:val="000771FD"/>
    <w:rsid w:val="00077317"/>
    <w:rsid w:val="0007748F"/>
    <w:rsid w:val="00077497"/>
    <w:rsid w:val="000774E0"/>
    <w:rsid w:val="000775E6"/>
    <w:rsid w:val="00077814"/>
    <w:rsid w:val="0007793D"/>
    <w:rsid w:val="00077B4C"/>
    <w:rsid w:val="000804E2"/>
    <w:rsid w:val="0008069C"/>
    <w:rsid w:val="000806E7"/>
    <w:rsid w:val="000808C2"/>
    <w:rsid w:val="00080BDC"/>
    <w:rsid w:val="00080F14"/>
    <w:rsid w:val="00081014"/>
    <w:rsid w:val="00081181"/>
    <w:rsid w:val="00081187"/>
    <w:rsid w:val="0008149A"/>
    <w:rsid w:val="000817AD"/>
    <w:rsid w:val="00081CCC"/>
    <w:rsid w:val="00081ED5"/>
    <w:rsid w:val="00081F7A"/>
    <w:rsid w:val="000820CB"/>
    <w:rsid w:val="0008281B"/>
    <w:rsid w:val="000828EC"/>
    <w:rsid w:val="00082964"/>
    <w:rsid w:val="00082A3A"/>
    <w:rsid w:val="00082D7A"/>
    <w:rsid w:val="00082DC0"/>
    <w:rsid w:val="00083087"/>
    <w:rsid w:val="00083206"/>
    <w:rsid w:val="00083412"/>
    <w:rsid w:val="000834E0"/>
    <w:rsid w:val="0008393F"/>
    <w:rsid w:val="00083945"/>
    <w:rsid w:val="000839BA"/>
    <w:rsid w:val="00083F62"/>
    <w:rsid w:val="0008417D"/>
    <w:rsid w:val="0008447F"/>
    <w:rsid w:val="00084615"/>
    <w:rsid w:val="00084688"/>
    <w:rsid w:val="0008471C"/>
    <w:rsid w:val="00084843"/>
    <w:rsid w:val="00084A2E"/>
    <w:rsid w:val="00084A84"/>
    <w:rsid w:val="00084BA2"/>
    <w:rsid w:val="00084CAC"/>
    <w:rsid w:val="00084D7B"/>
    <w:rsid w:val="00084F78"/>
    <w:rsid w:val="00084FC3"/>
    <w:rsid w:val="00085038"/>
    <w:rsid w:val="00085069"/>
    <w:rsid w:val="000850F5"/>
    <w:rsid w:val="0008575D"/>
    <w:rsid w:val="00085AF9"/>
    <w:rsid w:val="00085E42"/>
    <w:rsid w:val="00085E82"/>
    <w:rsid w:val="00085F69"/>
    <w:rsid w:val="00085FC8"/>
    <w:rsid w:val="0008618B"/>
    <w:rsid w:val="00086397"/>
    <w:rsid w:val="000866A6"/>
    <w:rsid w:val="00086830"/>
    <w:rsid w:val="00086887"/>
    <w:rsid w:val="000868FD"/>
    <w:rsid w:val="00086A27"/>
    <w:rsid w:val="00086CF4"/>
    <w:rsid w:val="00086D35"/>
    <w:rsid w:val="00086DA6"/>
    <w:rsid w:val="00086E22"/>
    <w:rsid w:val="00086EDA"/>
    <w:rsid w:val="00086F58"/>
    <w:rsid w:val="00086F63"/>
    <w:rsid w:val="00087106"/>
    <w:rsid w:val="000872FD"/>
    <w:rsid w:val="00087338"/>
    <w:rsid w:val="0008748C"/>
    <w:rsid w:val="00087512"/>
    <w:rsid w:val="00087578"/>
    <w:rsid w:val="00087B8B"/>
    <w:rsid w:val="00087BF3"/>
    <w:rsid w:val="00087C3D"/>
    <w:rsid w:val="00087D4A"/>
    <w:rsid w:val="00087DFE"/>
    <w:rsid w:val="00087FBD"/>
    <w:rsid w:val="000902AA"/>
    <w:rsid w:val="000905D1"/>
    <w:rsid w:val="0009076B"/>
    <w:rsid w:val="00090A87"/>
    <w:rsid w:val="00090A89"/>
    <w:rsid w:val="00090BF7"/>
    <w:rsid w:val="00090C90"/>
    <w:rsid w:val="00090D08"/>
    <w:rsid w:val="00090DB2"/>
    <w:rsid w:val="00090F57"/>
    <w:rsid w:val="00091036"/>
    <w:rsid w:val="00091180"/>
    <w:rsid w:val="00091261"/>
    <w:rsid w:val="000912C3"/>
    <w:rsid w:val="0009132B"/>
    <w:rsid w:val="00091629"/>
    <w:rsid w:val="00091F0B"/>
    <w:rsid w:val="00091F0F"/>
    <w:rsid w:val="00091F6D"/>
    <w:rsid w:val="00091FB8"/>
    <w:rsid w:val="000921E9"/>
    <w:rsid w:val="000922E6"/>
    <w:rsid w:val="000924F8"/>
    <w:rsid w:val="00092F21"/>
    <w:rsid w:val="00092F96"/>
    <w:rsid w:val="0009303F"/>
    <w:rsid w:val="0009313E"/>
    <w:rsid w:val="00093358"/>
    <w:rsid w:val="000936FA"/>
    <w:rsid w:val="00093946"/>
    <w:rsid w:val="00093CFF"/>
    <w:rsid w:val="00093D39"/>
    <w:rsid w:val="0009402C"/>
    <w:rsid w:val="00094060"/>
    <w:rsid w:val="0009435D"/>
    <w:rsid w:val="0009444E"/>
    <w:rsid w:val="000944B0"/>
    <w:rsid w:val="000946C2"/>
    <w:rsid w:val="00094BDC"/>
    <w:rsid w:val="00094C7F"/>
    <w:rsid w:val="00094D4F"/>
    <w:rsid w:val="0009521B"/>
    <w:rsid w:val="0009542A"/>
    <w:rsid w:val="000954A6"/>
    <w:rsid w:val="000954C3"/>
    <w:rsid w:val="00095788"/>
    <w:rsid w:val="0009583F"/>
    <w:rsid w:val="00095A04"/>
    <w:rsid w:val="00095ABC"/>
    <w:rsid w:val="00095B78"/>
    <w:rsid w:val="00095F13"/>
    <w:rsid w:val="000960F6"/>
    <w:rsid w:val="000963C3"/>
    <w:rsid w:val="000963E4"/>
    <w:rsid w:val="000965E3"/>
    <w:rsid w:val="000966AA"/>
    <w:rsid w:val="00096916"/>
    <w:rsid w:val="000969AB"/>
    <w:rsid w:val="00096A2D"/>
    <w:rsid w:val="00096B25"/>
    <w:rsid w:val="00096B33"/>
    <w:rsid w:val="00096C6A"/>
    <w:rsid w:val="00097293"/>
    <w:rsid w:val="000973C5"/>
    <w:rsid w:val="00097AFE"/>
    <w:rsid w:val="00097B3A"/>
    <w:rsid w:val="00097E6A"/>
    <w:rsid w:val="00097F38"/>
    <w:rsid w:val="000A00B2"/>
    <w:rsid w:val="000A038D"/>
    <w:rsid w:val="000A0423"/>
    <w:rsid w:val="000A042E"/>
    <w:rsid w:val="000A04F4"/>
    <w:rsid w:val="000A05B2"/>
    <w:rsid w:val="000A0723"/>
    <w:rsid w:val="000A07A0"/>
    <w:rsid w:val="000A07F9"/>
    <w:rsid w:val="000A0CC9"/>
    <w:rsid w:val="000A0DF8"/>
    <w:rsid w:val="000A0E14"/>
    <w:rsid w:val="000A0FBB"/>
    <w:rsid w:val="000A0FCD"/>
    <w:rsid w:val="000A12A4"/>
    <w:rsid w:val="000A16A3"/>
    <w:rsid w:val="000A16C8"/>
    <w:rsid w:val="000A19A8"/>
    <w:rsid w:val="000A1BAF"/>
    <w:rsid w:val="000A1C3F"/>
    <w:rsid w:val="000A1C86"/>
    <w:rsid w:val="000A1D00"/>
    <w:rsid w:val="000A1D5D"/>
    <w:rsid w:val="000A1DFD"/>
    <w:rsid w:val="000A2154"/>
    <w:rsid w:val="000A2159"/>
    <w:rsid w:val="000A2672"/>
    <w:rsid w:val="000A2739"/>
    <w:rsid w:val="000A27BA"/>
    <w:rsid w:val="000A28AF"/>
    <w:rsid w:val="000A2E61"/>
    <w:rsid w:val="000A2F6C"/>
    <w:rsid w:val="000A2FC1"/>
    <w:rsid w:val="000A319E"/>
    <w:rsid w:val="000A334C"/>
    <w:rsid w:val="000A33AA"/>
    <w:rsid w:val="000A355C"/>
    <w:rsid w:val="000A35BC"/>
    <w:rsid w:val="000A36FA"/>
    <w:rsid w:val="000A398E"/>
    <w:rsid w:val="000A39CC"/>
    <w:rsid w:val="000A3C44"/>
    <w:rsid w:val="000A422F"/>
    <w:rsid w:val="000A4288"/>
    <w:rsid w:val="000A4327"/>
    <w:rsid w:val="000A4385"/>
    <w:rsid w:val="000A45BD"/>
    <w:rsid w:val="000A478F"/>
    <w:rsid w:val="000A4A3A"/>
    <w:rsid w:val="000A4A78"/>
    <w:rsid w:val="000A4B67"/>
    <w:rsid w:val="000A4C7F"/>
    <w:rsid w:val="000A4E9D"/>
    <w:rsid w:val="000A4F4E"/>
    <w:rsid w:val="000A4FFE"/>
    <w:rsid w:val="000A50DD"/>
    <w:rsid w:val="000A519B"/>
    <w:rsid w:val="000A51E5"/>
    <w:rsid w:val="000A535C"/>
    <w:rsid w:val="000A53FD"/>
    <w:rsid w:val="000A5648"/>
    <w:rsid w:val="000A568B"/>
    <w:rsid w:val="000A5BB3"/>
    <w:rsid w:val="000A5C4E"/>
    <w:rsid w:val="000A5CB2"/>
    <w:rsid w:val="000A5D88"/>
    <w:rsid w:val="000A5E1F"/>
    <w:rsid w:val="000A5E9E"/>
    <w:rsid w:val="000A6009"/>
    <w:rsid w:val="000A62E4"/>
    <w:rsid w:val="000A6B5D"/>
    <w:rsid w:val="000A6B72"/>
    <w:rsid w:val="000A6D4A"/>
    <w:rsid w:val="000A6D98"/>
    <w:rsid w:val="000A6F1D"/>
    <w:rsid w:val="000A7046"/>
    <w:rsid w:val="000A7256"/>
    <w:rsid w:val="000A73BE"/>
    <w:rsid w:val="000A7412"/>
    <w:rsid w:val="000A74D2"/>
    <w:rsid w:val="000A764F"/>
    <w:rsid w:val="000A76F6"/>
    <w:rsid w:val="000A770E"/>
    <w:rsid w:val="000A7926"/>
    <w:rsid w:val="000A7C35"/>
    <w:rsid w:val="000A7D6B"/>
    <w:rsid w:val="000A7DE6"/>
    <w:rsid w:val="000A7EEE"/>
    <w:rsid w:val="000B0162"/>
    <w:rsid w:val="000B04DB"/>
    <w:rsid w:val="000B0539"/>
    <w:rsid w:val="000B06EF"/>
    <w:rsid w:val="000B0766"/>
    <w:rsid w:val="000B07D7"/>
    <w:rsid w:val="000B089C"/>
    <w:rsid w:val="000B0932"/>
    <w:rsid w:val="000B09EE"/>
    <w:rsid w:val="000B0CD8"/>
    <w:rsid w:val="000B0DCD"/>
    <w:rsid w:val="000B0F34"/>
    <w:rsid w:val="000B0F61"/>
    <w:rsid w:val="000B1370"/>
    <w:rsid w:val="000B1A3A"/>
    <w:rsid w:val="000B1A4D"/>
    <w:rsid w:val="000B20C3"/>
    <w:rsid w:val="000B2160"/>
    <w:rsid w:val="000B241B"/>
    <w:rsid w:val="000B2560"/>
    <w:rsid w:val="000B28EB"/>
    <w:rsid w:val="000B2A3C"/>
    <w:rsid w:val="000B2ADB"/>
    <w:rsid w:val="000B2EBA"/>
    <w:rsid w:val="000B2F48"/>
    <w:rsid w:val="000B30DD"/>
    <w:rsid w:val="000B3150"/>
    <w:rsid w:val="000B32E2"/>
    <w:rsid w:val="000B341C"/>
    <w:rsid w:val="000B3511"/>
    <w:rsid w:val="000B35BA"/>
    <w:rsid w:val="000B36E3"/>
    <w:rsid w:val="000B379B"/>
    <w:rsid w:val="000B381D"/>
    <w:rsid w:val="000B3849"/>
    <w:rsid w:val="000B3B41"/>
    <w:rsid w:val="000B3BB1"/>
    <w:rsid w:val="000B3D65"/>
    <w:rsid w:val="000B3FD9"/>
    <w:rsid w:val="000B40DA"/>
    <w:rsid w:val="000B431B"/>
    <w:rsid w:val="000B470E"/>
    <w:rsid w:val="000B4750"/>
    <w:rsid w:val="000B47E2"/>
    <w:rsid w:val="000B481B"/>
    <w:rsid w:val="000B49A4"/>
    <w:rsid w:val="000B49C0"/>
    <w:rsid w:val="000B4AE3"/>
    <w:rsid w:val="000B4E54"/>
    <w:rsid w:val="000B4E56"/>
    <w:rsid w:val="000B4FFC"/>
    <w:rsid w:val="000B5058"/>
    <w:rsid w:val="000B5077"/>
    <w:rsid w:val="000B514A"/>
    <w:rsid w:val="000B5276"/>
    <w:rsid w:val="000B548C"/>
    <w:rsid w:val="000B5615"/>
    <w:rsid w:val="000B56A9"/>
    <w:rsid w:val="000B56F4"/>
    <w:rsid w:val="000B59D2"/>
    <w:rsid w:val="000B5BEC"/>
    <w:rsid w:val="000B5C93"/>
    <w:rsid w:val="000B5CE9"/>
    <w:rsid w:val="000B5EB3"/>
    <w:rsid w:val="000B618D"/>
    <w:rsid w:val="000B68DF"/>
    <w:rsid w:val="000B6C82"/>
    <w:rsid w:val="000B6D66"/>
    <w:rsid w:val="000B6D90"/>
    <w:rsid w:val="000B7190"/>
    <w:rsid w:val="000B734C"/>
    <w:rsid w:val="000B746B"/>
    <w:rsid w:val="000B7564"/>
    <w:rsid w:val="000B7600"/>
    <w:rsid w:val="000B769B"/>
    <w:rsid w:val="000B78F3"/>
    <w:rsid w:val="000B7D1B"/>
    <w:rsid w:val="000B7EF3"/>
    <w:rsid w:val="000C0291"/>
    <w:rsid w:val="000C040B"/>
    <w:rsid w:val="000C057E"/>
    <w:rsid w:val="000C0691"/>
    <w:rsid w:val="000C0818"/>
    <w:rsid w:val="000C0862"/>
    <w:rsid w:val="000C0886"/>
    <w:rsid w:val="000C08F7"/>
    <w:rsid w:val="000C0A19"/>
    <w:rsid w:val="000C0A2C"/>
    <w:rsid w:val="000C0B79"/>
    <w:rsid w:val="000C0CB9"/>
    <w:rsid w:val="000C0E0F"/>
    <w:rsid w:val="000C1044"/>
    <w:rsid w:val="000C12FC"/>
    <w:rsid w:val="000C1326"/>
    <w:rsid w:val="000C1603"/>
    <w:rsid w:val="000C1639"/>
    <w:rsid w:val="000C1A1C"/>
    <w:rsid w:val="000C206F"/>
    <w:rsid w:val="000C2137"/>
    <w:rsid w:val="000C2333"/>
    <w:rsid w:val="000C292E"/>
    <w:rsid w:val="000C2939"/>
    <w:rsid w:val="000C2986"/>
    <w:rsid w:val="000C2994"/>
    <w:rsid w:val="000C2A5A"/>
    <w:rsid w:val="000C2A71"/>
    <w:rsid w:val="000C310B"/>
    <w:rsid w:val="000C3197"/>
    <w:rsid w:val="000C3223"/>
    <w:rsid w:val="000C3347"/>
    <w:rsid w:val="000C33A0"/>
    <w:rsid w:val="000C33BD"/>
    <w:rsid w:val="000C3620"/>
    <w:rsid w:val="000C36EF"/>
    <w:rsid w:val="000C3AB3"/>
    <w:rsid w:val="000C3CE5"/>
    <w:rsid w:val="000C3E56"/>
    <w:rsid w:val="000C3EEB"/>
    <w:rsid w:val="000C3FC0"/>
    <w:rsid w:val="000C4047"/>
    <w:rsid w:val="000C40A9"/>
    <w:rsid w:val="000C41F6"/>
    <w:rsid w:val="000C43CB"/>
    <w:rsid w:val="000C449D"/>
    <w:rsid w:val="000C468C"/>
    <w:rsid w:val="000C46AA"/>
    <w:rsid w:val="000C4717"/>
    <w:rsid w:val="000C4C70"/>
    <w:rsid w:val="000C4EED"/>
    <w:rsid w:val="000C5169"/>
    <w:rsid w:val="000C517A"/>
    <w:rsid w:val="000C5373"/>
    <w:rsid w:val="000C53A6"/>
    <w:rsid w:val="000C57F9"/>
    <w:rsid w:val="000C58AF"/>
    <w:rsid w:val="000C5A11"/>
    <w:rsid w:val="000C5C09"/>
    <w:rsid w:val="000C5D95"/>
    <w:rsid w:val="000C60D9"/>
    <w:rsid w:val="000C612F"/>
    <w:rsid w:val="000C618C"/>
    <w:rsid w:val="000C629B"/>
    <w:rsid w:val="000C635F"/>
    <w:rsid w:val="000C63A2"/>
    <w:rsid w:val="000C65B3"/>
    <w:rsid w:val="000C6873"/>
    <w:rsid w:val="000C68C0"/>
    <w:rsid w:val="000C691C"/>
    <w:rsid w:val="000C698C"/>
    <w:rsid w:val="000C6AF6"/>
    <w:rsid w:val="000C6C29"/>
    <w:rsid w:val="000C6FBE"/>
    <w:rsid w:val="000C7444"/>
    <w:rsid w:val="000C759A"/>
    <w:rsid w:val="000C77A3"/>
    <w:rsid w:val="000C7CC4"/>
    <w:rsid w:val="000C7D3F"/>
    <w:rsid w:val="000C7E45"/>
    <w:rsid w:val="000D033D"/>
    <w:rsid w:val="000D063D"/>
    <w:rsid w:val="000D075B"/>
    <w:rsid w:val="000D07FF"/>
    <w:rsid w:val="000D09F8"/>
    <w:rsid w:val="000D0EBC"/>
    <w:rsid w:val="000D109C"/>
    <w:rsid w:val="000D1177"/>
    <w:rsid w:val="000D14B4"/>
    <w:rsid w:val="000D17A6"/>
    <w:rsid w:val="000D19C5"/>
    <w:rsid w:val="000D1B20"/>
    <w:rsid w:val="000D1B50"/>
    <w:rsid w:val="000D1BD4"/>
    <w:rsid w:val="000D1CE3"/>
    <w:rsid w:val="000D1DAF"/>
    <w:rsid w:val="000D1DB5"/>
    <w:rsid w:val="000D1EA7"/>
    <w:rsid w:val="000D2021"/>
    <w:rsid w:val="000D21AE"/>
    <w:rsid w:val="000D23E4"/>
    <w:rsid w:val="000D25C0"/>
    <w:rsid w:val="000D2620"/>
    <w:rsid w:val="000D2779"/>
    <w:rsid w:val="000D283E"/>
    <w:rsid w:val="000D28E0"/>
    <w:rsid w:val="000D2E6C"/>
    <w:rsid w:val="000D3033"/>
    <w:rsid w:val="000D30E8"/>
    <w:rsid w:val="000D3582"/>
    <w:rsid w:val="000D35CB"/>
    <w:rsid w:val="000D3B3F"/>
    <w:rsid w:val="000D3CEA"/>
    <w:rsid w:val="000D41A5"/>
    <w:rsid w:val="000D43AD"/>
    <w:rsid w:val="000D43AE"/>
    <w:rsid w:val="000D4481"/>
    <w:rsid w:val="000D4485"/>
    <w:rsid w:val="000D455E"/>
    <w:rsid w:val="000D462F"/>
    <w:rsid w:val="000D472F"/>
    <w:rsid w:val="000D4B66"/>
    <w:rsid w:val="000D4BBA"/>
    <w:rsid w:val="000D4BBB"/>
    <w:rsid w:val="000D502F"/>
    <w:rsid w:val="000D565B"/>
    <w:rsid w:val="000D569F"/>
    <w:rsid w:val="000D5BD9"/>
    <w:rsid w:val="000D5D65"/>
    <w:rsid w:val="000D5EF0"/>
    <w:rsid w:val="000D5F3E"/>
    <w:rsid w:val="000D615A"/>
    <w:rsid w:val="000D6298"/>
    <w:rsid w:val="000D63B7"/>
    <w:rsid w:val="000D63E0"/>
    <w:rsid w:val="000D65E3"/>
    <w:rsid w:val="000D67F8"/>
    <w:rsid w:val="000D6849"/>
    <w:rsid w:val="000D6BD0"/>
    <w:rsid w:val="000D6EC7"/>
    <w:rsid w:val="000D71A0"/>
    <w:rsid w:val="000D71BB"/>
    <w:rsid w:val="000D71F7"/>
    <w:rsid w:val="000D7284"/>
    <w:rsid w:val="000D7288"/>
    <w:rsid w:val="000D729E"/>
    <w:rsid w:val="000D739B"/>
    <w:rsid w:val="000D75F0"/>
    <w:rsid w:val="000D7758"/>
    <w:rsid w:val="000D79FD"/>
    <w:rsid w:val="000D7B17"/>
    <w:rsid w:val="000D7B80"/>
    <w:rsid w:val="000D7DA2"/>
    <w:rsid w:val="000E0593"/>
    <w:rsid w:val="000E062B"/>
    <w:rsid w:val="000E0A3C"/>
    <w:rsid w:val="000E0B86"/>
    <w:rsid w:val="000E0C09"/>
    <w:rsid w:val="000E0C5F"/>
    <w:rsid w:val="000E0D67"/>
    <w:rsid w:val="000E0D6A"/>
    <w:rsid w:val="000E138F"/>
    <w:rsid w:val="000E1688"/>
    <w:rsid w:val="000E16AF"/>
    <w:rsid w:val="000E19BC"/>
    <w:rsid w:val="000E1A56"/>
    <w:rsid w:val="000E1A7F"/>
    <w:rsid w:val="000E1AF7"/>
    <w:rsid w:val="000E1B57"/>
    <w:rsid w:val="000E1C01"/>
    <w:rsid w:val="000E1C54"/>
    <w:rsid w:val="000E1D4C"/>
    <w:rsid w:val="000E2064"/>
    <w:rsid w:val="000E22C7"/>
    <w:rsid w:val="000E25A3"/>
    <w:rsid w:val="000E260C"/>
    <w:rsid w:val="000E268B"/>
    <w:rsid w:val="000E2918"/>
    <w:rsid w:val="000E2930"/>
    <w:rsid w:val="000E298C"/>
    <w:rsid w:val="000E2CF4"/>
    <w:rsid w:val="000E2DAC"/>
    <w:rsid w:val="000E2ED4"/>
    <w:rsid w:val="000E2F96"/>
    <w:rsid w:val="000E2F9E"/>
    <w:rsid w:val="000E31AC"/>
    <w:rsid w:val="000E36A6"/>
    <w:rsid w:val="000E374F"/>
    <w:rsid w:val="000E375B"/>
    <w:rsid w:val="000E39E5"/>
    <w:rsid w:val="000E3AB6"/>
    <w:rsid w:val="000E4164"/>
    <w:rsid w:val="000E428F"/>
    <w:rsid w:val="000E43FF"/>
    <w:rsid w:val="000E4477"/>
    <w:rsid w:val="000E467B"/>
    <w:rsid w:val="000E4B2D"/>
    <w:rsid w:val="000E4BA6"/>
    <w:rsid w:val="000E4DA8"/>
    <w:rsid w:val="000E4E51"/>
    <w:rsid w:val="000E4EFC"/>
    <w:rsid w:val="000E50AE"/>
    <w:rsid w:val="000E50B5"/>
    <w:rsid w:val="000E5201"/>
    <w:rsid w:val="000E5302"/>
    <w:rsid w:val="000E5512"/>
    <w:rsid w:val="000E594A"/>
    <w:rsid w:val="000E5CCA"/>
    <w:rsid w:val="000E5ED5"/>
    <w:rsid w:val="000E5FC7"/>
    <w:rsid w:val="000E6089"/>
    <w:rsid w:val="000E60E5"/>
    <w:rsid w:val="000E62C6"/>
    <w:rsid w:val="000E67F8"/>
    <w:rsid w:val="000E6ACB"/>
    <w:rsid w:val="000E6D63"/>
    <w:rsid w:val="000E6EB7"/>
    <w:rsid w:val="000E7008"/>
    <w:rsid w:val="000E7082"/>
    <w:rsid w:val="000E70C7"/>
    <w:rsid w:val="000E712A"/>
    <w:rsid w:val="000E7204"/>
    <w:rsid w:val="000E7276"/>
    <w:rsid w:val="000E74DA"/>
    <w:rsid w:val="000E782E"/>
    <w:rsid w:val="000E7981"/>
    <w:rsid w:val="000E7A27"/>
    <w:rsid w:val="000E7A91"/>
    <w:rsid w:val="000E7B2E"/>
    <w:rsid w:val="000E7C70"/>
    <w:rsid w:val="000F01CF"/>
    <w:rsid w:val="000F0235"/>
    <w:rsid w:val="000F0249"/>
    <w:rsid w:val="000F0498"/>
    <w:rsid w:val="000F064C"/>
    <w:rsid w:val="000F06C1"/>
    <w:rsid w:val="000F0739"/>
    <w:rsid w:val="000F09ED"/>
    <w:rsid w:val="000F10E6"/>
    <w:rsid w:val="000F1252"/>
    <w:rsid w:val="000F1254"/>
    <w:rsid w:val="000F17B9"/>
    <w:rsid w:val="000F17C1"/>
    <w:rsid w:val="000F1BA4"/>
    <w:rsid w:val="000F1D22"/>
    <w:rsid w:val="000F1D8C"/>
    <w:rsid w:val="000F212E"/>
    <w:rsid w:val="000F2205"/>
    <w:rsid w:val="000F2562"/>
    <w:rsid w:val="000F26B4"/>
    <w:rsid w:val="000F2726"/>
    <w:rsid w:val="000F2D66"/>
    <w:rsid w:val="000F2DED"/>
    <w:rsid w:val="000F2E8D"/>
    <w:rsid w:val="000F2EE9"/>
    <w:rsid w:val="000F2F4E"/>
    <w:rsid w:val="000F331E"/>
    <w:rsid w:val="000F3456"/>
    <w:rsid w:val="000F346D"/>
    <w:rsid w:val="000F349C"/>
    <w:rsid w:val="000F3510"/>
    <w:rsid w:val="000F3578"/>
    <w:rsid w:val="000F35B5"/>
    <w:rsid w:val="000F35ED"/>
    <w:rsid w:val="000F37C4"/>
    <w:rsid w:val="000F37D3"/>
    <w:rsid w:val="000F3F5D"/>
    <w:rsid w:val="000F43AC"/>
    <w:rsid w:val="000F4491"/>
    <w:rsid w:val="000F4498"/>
    <w:rsid w:val="000F44FE"/>
    <w:rsid w:val="000F45A8"/>
    <w:rsid w:val="000F4713"/>
    <w:rsid w:val="000F4D04"/>
    <w:rsid w:val="000F523E"/>
    <w:rsid w:val="000F5352"/>
    <w:rsid w:val="000F53C4"/>
    <w:rsid w:val="000F54F7"/>
    <w:rsid w:val="000F583D"/>
    <w:rsid w:val="000F58F2"/>
    <w:rsid w:val="000F5A85"/>
    <w:rsid w:val="000F5ABB"/>
    <w:rsid w:val="000F5C18"/>
    <w:rsid w:val="000F5DA3"/>
    <w:rsid w:val="000F5DDF"/>
    <w:rsid w:val="000F5EAA"/>
    <w:rsid w:val="000F5F4E"/>
    <w:rsid w:val="000F5F85"/>
    <w:rsid w:val="000F611F"/>
    <w:rsid w:val="000F61DD"/>
    <w:rsid w:val="000F6426"/>
    <w:rsid w:val="000F6464"/>
    <w:rsid w:val="000F66E1"/>
    <w:rsid w:val="000F68D4"/>
    <w:rsid w:val="000F6AA7"/>
    <w:rsid w:val="000F6E30"/>
    <w:rsid w:val="000F6ECE"/>
    <w:rsid w:val="000F6EF3"/>
    <w:rsid w:val="000F6F4A"/>
    <w:rsid w:val="000F70FC"/>
    <w:rsid w:val="000F7255"/>
    <w:rsid w:val="000F7458"/>
    <w:rsid w:val="000F7568"/>
    <w:rsid w:val="000F7589"/>
    <w:rsid w:val="000F7672"/>
    <w:rsid w:val="000F78CC"/>
    <w:rsid w:val="000F78D0"/>
    <w:rsid w:val="000F7921"/>
    <w:rsid w:val="000F79E7"/>
    <w:rsid w:val="000F7FC6"/>
    <w:rsid w:val="001001A8"/>
    <w:rsid w:val="0010027D"/>
    <w:rsid w:val="0010043A"/>
    <w:rsid w:val="001004E4"/>
    <w:rsid w:val="001004FB"/>
    <w:rsid w:val="0010053E"/>
    <w:rsid w:val="001007DD"/>
    <w:rsid w:val="00100A13"/>
    <w:rsid w:val="00100B56"/>
    <w:rsid w:val="00100CBE"/>
    <w:rsid w:val="00100DBF"/>
    <w:rsid w:val="0010110F"/>
    <w:rsid w:val="0010129B"/>
    <w:rsid w:val="0010185E"/>
    <w:rsid w:val="0010195B"/>
    <w:rsid w:val="00101B25"/>
    <w:rsid w:val="00101C5C"/>
    <w:rsid w:val="00101D4C"/>
    <w:rsid w:val="001020BB"/>
    <w:rsid w:val="00102244"/>
    <w:rsid w:val="00102841"/>
    <w:rsid w:val="0010289B"/>
    <w:rsid w:val="00102A5B"/>
    <w:rsid w:val="00102A79"/>
    <w:rsid w:val="00102B58"/>
    <w:rsid w:val="00102B72"/>
    <w:rsid w:val="00102C79"/>
    <w:rsid w:val="00102F66"/>
    <w:rsid w:val="0010315F"/>
    <w:rsid w:val="0010345D"/>
    <w:rsid w:val="00103502"/>
    <w:rsid w:val="001036B2"/>
    <w:rsid w:val="001036B4"/>
    <w:rsid w:val="001037BC"/>
    <w:rsid w:val="00103802"/>
    <w:rsid w:val="00103803"/>
    <w:rsid w:val="00103873"/>
    <w:rsid w:val="0010392F"/>
    <w:rsid w:val="001039B5"/>
    <w:rsid w:val="001039F4"/>
    <w:rsid w:val="00103BA0"/>
    <w:rsid w:val="00103E69"/>
    <w:rsid w:val="00104063"/>
    <w:rsid w:val="00104068"/>
    <w:rsid w:val="00104132"/>
    <w:rsid w:val="0010453A"/>
    <w:rsid w:val="0010458D"/>
    <w:rsid w:val="00104B04"/>
    <w:rsid w:val="00104CF0"/>
    <w:rsid w:val="00104E57"/>
    <w:rsid w:val="00104E5E"/>
    <w:rsid w:val="00104E7E"/>
    <w:rsid w:val="00104F04"/>
    <w:rsid w:val="00104F3F"/>
    <w:rsid w:val="00104FBE"/>
    <w:rsid w:val="00105298"/>
    <w:rsid w:val="0010570E"/>
    <w:rsid w:val="0010591D"/>
    <w:rsid w:val="00105965"/>
    <w:rsid w:val="00105D47"/>
    <w:rsid w:val="00105D7D"/>
    <w:rsid w:val="001061BC"/>
    <w:rsid w:val="001061F6"/>
    <w:rsid w:val="001064F2"/>
    <w:rsid w:val="00106638"/>
    <w:rsid w:val="00106688"/>
    <w:rsid w:val="001069D7"/>
    <w:rsid w:val="00106AFB"/>
    <w:rsid w:val="00106C30"/>
    <w:rsid w:val="00106D5E"/>
    <w:rsid w:val="001072CB"/>
    <w:rsid w:val="00107513"/>
    <w:rsid w:val="001075DD"/>
    <w:rsid w:val="0010798F"/>
    <w:rsid w:val="001079E2"/>
    <w:rsid w:val="00107BB6"/>
    <w:rsid w:val="00107F5C"/>
    <w:rsid w:val="00110307"/>
    <w:rsid w:val="00110401"/>
    <w:rsid w:val="00110ED5"/>
    <w:rsid w:val="00111060"/>
    <w:rsid w:val="001110B9"/>
    <w:rsid w:val="0011111F"/>
    <w:rsid w:val="001111DE"/>
    <w:rsid w:val="001112B4"/>
    <w:rsid w:val="00111323"/>
    <w:rsid w:val="0011150F"/>
    <w:rsid w:val="001116D5"/>
    <w:rsid w:val="00111A15"/>
    <w:rsid w:val="00111DB2"/>
    <w:rsid w:val="00111F1E"/>
    <w:rsid w:val="001123A3"/>
    <w:rsid w:val="00112445"/>
    <w:rsid w:val="00112589"/>
    <w:rsid w:val="0011289B"/>
    <w:rsid w:val="00112B1E"/>
    <w:rsid w:val="00112E69"/>
    <w:rsid w:val="00112EA0"/>
    <w:rsid w:val="00112EB3"/>
    <w:rsid w:val="00113290"/>
    <w:rsid w:val="00113AA8"/>
    <w:rsid w:val="00113BC8"/>
    <w:rsid w:val="00113C1A"/>
    <w:rsid w:val="00113DA0"/>
    <w:rsid w:val="00113E9C"/>
    <w:rsid w:val="00114183"/>
    <w:rsid w:val="001146B9"/>
    <w:rsid w:val="00114703"/>
    <w:rsid w:val="00114779"/>
    <w:rsid w:val="00114827"/>
    <w:rsid w:val="00114A5D"/>
    <w:rsid w:val="00114C0E"/>
    <w:rsid w:val="00114F32"/>
    <w:rsid w:val="001150BE"/>
    <w:rsid w:val="00115100"/>
    <w:rsid w:val="00115167"/>
    <w:rsid w:val="00115629"/>
    <w:rsid w:val="0011587C"/>
    <w:rsid w:val="00115967"/>
    <w:rsid w:val="00115B6D"/>
    <w:rsid w:val="00115C05"/>
    <w:rsid w:val="00115FFB"/>
    <w:rsid w:val="001161E0"/>
    <w:rsid w:val="0011644F"/>
    <w:rsid w:val="001164DE"/>
    <w:rsid w:val="00116853"/>
    <w:rsid w:val="00116867"/>
    <w:rsid w:val="001168F3"/>
    <w:rsid w:val="00116999"/>
    <w:rsid w:val="00116A44"/>
    <w:rsid w:val="00116CD7"/>
    <w:rsid w:val="00116D05"/>
    <w:rsid w:val="00116D2A"/>
    <w:rsid w:val="00116D32"/>
    <w:rsid w:val="00116D8C"/>
    <w:rsid w:val="00116E52"/>
    <w:rsid w:val="00116F6A"/>
    <w:rsid w:val="00117813"/>
    <w:rsid w:val="00117941"/>
    <w:rsid w:val="001179FA"/>
    <w:rsid w:val="00117AF7"/>
    <w:rsid w:val="00117BDA"/>
    <w:rsid w:val="00117D2A"/>
    <w:rsid w:val="00117DBB"/>
    <w:rsid w:val="00117DEC"/>
    <w:rsid w:val="00120143"/>
    <w:rsid w:val="001201A0"/>
    <w:rsid w:val="001201B5"/>
    <w:rsid w:val="0012028C"/>
    <w:rsid w:val="001202D3"/>
    <w:rsid w:val="00120942"/>
    <w:rsid w:val="00120A39"/>
    <w:rsid w:val="00120C1F"/>
    <w:rsid w:val="00120D2F"/>
    <w:rsid w:val="00120E65"/>
    <w:rsid w:val="001219BD"/>
    <w:rsid w:val="00121A3F"/>
    <w:rsid w:val="00121C0B"/>
    <w:rsid w:val="00121C13"/>
    <w:rsid w:val="00121D45"/>
    <w:rsid w:val="00121DBB"/>
    <w:rsid w:val="00121E23"/>
    <w:rsid w:val="00122094"/>
    <w:rsid w:val="0012226A"/>
    <w:rsid w:val="001224B2"/>
    <w:rsid w:val="001224D0"/>
    <w:rsid w:val="001226E0"/>
    <w:rsid w:val="00122AED"/>
    <w:rsid w:val="00122B57"/>
    <w:rsid w:val="00122B93"/>
    <w:rsid w:val="00122CAF"/>
    <w:rsid w:val="00122CF4"/>
    <w:rsid w:val="00122EC8"/>
    <w:rsid w:val="00123060"/>
    <w:rsid w:val="001230D0"/>
    <w:rsid w:val="00123169"/>
    <w:rsid w:val="001232ED"/>
    <w:rsid w:val="0012356E"/>
    <w:rsid w:val="00123719"/>
    <w:rsid w:val="001237DC"/>
    <w:rsid w:val="00123869"/>
    <w:rsid w:val="00123A17"/>
    <w:rsid w:val="00123B56"/>
    <w:rsid w:val="00123CE0"/>
    <w:rsid w:val="00123D65"/>
    <w:rsid w:val="00123EEA"/>
    <w:rsid w:val="001240D7"/>
    <w:rsid w:val="001243C2"/>
    <w:rsid w:val="001243EB"/>
    <w:rsid w:val="00124709"/>
    <w:rsid w:val="00124878"/>
    <w:rsid w:val="00124A3D"/>
    <w:rsid w:val="00124E20"/>
    <w:rsid w:val="00124E8C"/>
    <w:rsid w:val="00124FBF"/>
    <w:rsid w:val="001250BF"/>
    <w:rsid w:val="001250C6"/>
    <w:rsid w:val="00125292"/>
    <w:rsid w:val="001252A5"/>
    <w:rsid w:val="0012537C"/>
    <w:rsid w:val="00125956"/>
    <w:rsid w:val="001259C0"/>
    <w:rsid w:val="0012606A"/>
    <w:rsid w:val="00126548"/>
    <w:rsid w:val="00126AB6"/>
    <w:rsid w:val="00126B91"/>
    <w:rsid w:val="00126C11"/>
    <w:rsid w:val="00126CB9"/>
    <w:rsid w:val="00126DD5"/>
    <w:rsid w:val="00126DD6"/>
    <w:rsid w:val="00126E62"/>
    <w:rsid w:val="0012708B"/>
    <w:rsid w:val="0012727A"/>
    <w:rsid w:val="001272C9"/>
    <w:rsid w:val="00127462"/>
    <w:rsid w:val="00127EA4"/>
    <w:rsid w:val="00127F3F"/>
    <w:rsid w:val="00127FE2"/>
    <w:rsid w:val="0013003B"/>
    <w:rsid w:val="001300A6"/>
    <w:rsid w:val="00130213"/>
    <w:rsid w:val="0013024F"/>
    <w:rsid w:val="001302AD"/>
    <w:rsid w:val="0013067B"/>
    <w:rsid w:val="00130978"/>
    <w:rsid w:val="00130AE6"/>
    <w:rsid w:val="00130B5D"/>
    <w:rsid w:val="00130E68"/>
    <w:rsid w:val="00130EAF"/>
    <w:rsid w:val="001310CD"/>
    <w:rsid w:val="00131475"/>
    <w:rsid w:val="001315F1"/>
    <w:rsid w:val="0013163D"/>
    <w:rsid w:val="001316CC"/>
    <w:rsid w:val="0013190F"/>
    <w:rsid w:val="00131975"/>
    <w:rsid w:val="00131A94"/>
    <w:rsid w:val="00131DDE"/>
    <w:rsid w:val="0013251F"/>
    <w:rsid w:val="00132C04"/>
    <w:rsid w:val="00132DB1"/>
    <w:rsid w:val="00132E53"/>
    <w:rsid w:val="00132FAF"/>
    <w:rsid w:val="0013303C"/>
    <w:rsid w:val="001332E7"/>
    <w:rsid w:val="00133495"/>
    <w:rsid w:val="001337FF"/>
    <w:rsid w:val="0013384F"/>
    <w:rsid w:val="00133865"/>
    <w:rsid w:val="00133B1D"/>
    <w:rsid w:val="00133CFD"/>
    <w:rsid w:val="00133D58"/>
    <w:rsid w:val="00133DFC"/>
    <w:rsid w:val="0013405C"/>
    <w:rsid w:val="001341F0"/>
    <w:rsid w:val="00134295"/>
    <w:rsid w:val="00134871"/>
    <w:rsid w:val="00134926"/>
    <w:rsid w:val="00134B01"/>
    <w:rsid w:val="00134D60"/>
    <w:rsid w:val="00135073"/>
    <w:rsid w:val="00135174"/>
    <w:rsid w:val="0013526F"/>
    <w:rsid w:val="0013532D"/>
    <w:rsid w:val="001355E0"/>
    <w:rsid w:val="00135808"/>
    <w:rsid w:val="001358F8"/>
    <w:rsid w:val="00135939"/>
    <w:rsid w:val="00135981"/>
    <w:rsid w:val="001359AD"/>
    <w:rsid w:val="001359CA"/>
    <w:rsid w:val="00135A67"/>
    <w:rsid w:val="00136123"/>
    <w:rsid w:val="001363DB"/>
    <w:rsid w:val="00136682"/>
    <w:rsid w:val="00136BA1"/>
    <w:rsid w:val="0013744D"/>
    <w:rsid w:val="001375C7"/>
    <w:rsid w:val="0013791D"/>
    <w:rsid w:val="001401AE"/>
    <w:rsid w:val="001408CC"/>
    <w:rsid w:val="00140A56"/>
    <w:rsid w:val="00140A9D"/>
    <w:rsid w:val="00140BA5"/>
    <w:rsid w:val="00140D72"/>
    <w:rsid w:val="0014106D"/>
    <w:rsid w:val="0014123E"/>
    <w:rsid w:val="0014175F"/>
    <w:rsid w:val="00141789"/>
    <w:rsid w:val="001419E9"/>
    <w:rsid w:val="00141D57"/>
    <w:rsid w:val="00141E39"/>
    <w:rsid w:val="00142093"/>
    <w:rsid w:val="001420D6"/>
    <w:rsid w:val="001423BF"/>
    <w:rsid w:val="00142441"/>
    <w:rsid w:val="0014261C"/>
    <w:rsid w:val="001428FC"/>
    <w:rsid w:val="00142C02"/>
    <w:rsid w:val="00142D6B"/>
    <w:rsid w:val="00142E3A"/>
    <w:rsid w:val="00142FEE"/>
    <w:rsid w:val="0014325E"/>
    <w:rsid w:val="001432E9"/>
    <w:rsid w:val="0014334F"/>
    <w:rsid w:val="001435A2"/>
    <w:rsid w:val="00143744"/>
    <w:rsid w:val="001437A1"/>
    <w:rsid w:val="00143958"/>
    <w:rsid w:val="00143963"/>
    <w:rsid w:val="00143A16"/>
    <w:rsid w:val="00143C38"/>
    <w:rsid w:val="00143D84"/>
    <w:rsid w:val="00143EAD"/>
    <w:rsid w:val="00143FF4"/>
    <w:rsid w:val="00144565"/>
    <w:rsid w:val="00144620"/>
    <w:rsid w:val="0014483E"/>
    <w:rsid w:val="0014484A"/>
    <w:rsid w:val="00144FDA"/>
    <w:rsid w:val="0014518B"/>
    <w:rsid w:val="001452EE"/>
    <w:rsid w:val="001457B7"/>
    <w:rsid w:val="001457DC"/>
    <w:rsid w:val="001458ED"/>
    <w:rsid w:val="00145BE9"/>
    <w:rsid w:val="0014601E"/>
    <w:rsid w:val="00146072"/>
    <w:rsid w:val="00146228"/>
    <w:rsid w:val="001462A7"/>
    <w:rsid w:val="00146353"/>
    <w:rsid w:val="00146397"/>
    <w:rsid w:val="001463FE"/>
    <w:rsid w:val="00146468"/>
    <w:rsid w:val="00146478"/>
    <w:rsid w:val="00146893"/>
    <w:rsid w:val="00146BED"/>
    <w:rsid w:val="00146C22"/>
    <w:rsid w:val="00146D68"/>
    <w:rsid w:val="00146F26"/>
    <w:rsid w:val="0014700A"/>
    <w:rsid w:val="001470EE"/>
    <w:rsid w:val="00147220"/>
    <w:rsid w:val="00147620"/>
    <w:rsid w:val="00147689"/>
    <w:rsid w:val="00147750"/>
    <w:rsid w:val="001477A0"/>
    <w:rsid w:val="00147890"/>
    <w:rsid w:val="0014790D"/>
    <w:rsid w:val="001479EA"/>
    <w:rsid w:val="00147CAC"/>
    <w:rsid w:val="0015068B"/>
    <w:rsid w:val="0015073C"/>
    <w:rsid w:val="0015085F"/>
    <w:rsid w:val="001508C3"/>
    <w:rsid w:val="001508EC"/>
    <w:rsid w:val="00150B50"/>
    <w:rsid w:val="00150B72"/>
    <w:rsid w:val="00150C1C"/>
    <w:rsid w:val="00150D3C"/>
    <w:rsid w:val="00150DA9"/>
    <w:rsid w:val="001510DE"/>
    <w:rsid w:val="001512FE"/>
    <w:rsid w:val="00151358"/>
    <w:rsid w:val="001513E8"/>
    <w:rsid w:val="00151583"/>
    <w:rsid w:val="001515F0"/>
    <w:rsid w:val="00151949"/>
    <w:rsid w:val="00151965"/>
    <w:rsid w:val="00151BDE"/>
    <w:rsid w:val="00151C53"/>
    <w:rsid w:val="00151C83"/>
    <w:rsid w:val="00151D97"/>
    <w:rsid w:val="00151E29"/>
    <w:rsid w:val="00151FF2"/>
    <w:rsid w:val="0015225F"/>
    <w:rsid w:val="001523C9"/>
    <w:rsid w:val="001524E8"/>
    <w:rsid w:val="00152638"/>
    <w:rsid w:val="00152902"/>
    <w:rsid w:val="0015295E"/>
    <w:rsid w:val="00152EEB"/>
    <w:rsid w:val="00152EF7"/>
    <w:rsid w:val="00153059"/>
    <w:rsid w:val="00153226"/>
    <w:rsid w:val="0015342F"/>
    <w:rsid w:val="001534F6"/>
    <w:rsid w:val="0015354D"/>
    <w:rsid w:val="001540C3"/>
    <w:rsid w:val="001540DE"/>
    <w:rsid w:val="00154113"/>
    <w:rsid w:val="001543CB"/>
    <w:rsid w:val="00154481"/>
    <w:rsid w:val="001545C3"/>
    <w:rsid w:val="0015463F"/>
    <w:rsid w:val="00154B46"/>
    <w:rsid w:val="00154CEF"/>
    <w:rsid w:val="00154DD8"/>
    <w:rsid w:val="00155213"/>
    <w:rsid w:val="001552FC"/>
    <w:rsid w:val="00155347"/>
    <w:rsid w:val="001553EF"/>
    <w:rsid w:val="001557D4"/>
    <w:rsid w:val="001557D8"/>
    <w:rsid w:val="0015587D"/>
    <w:rsid w:val="00155884"/>
    <w:rsid w:val="00155910"/>
    <w:rsid w:val="00155DC2"/>
    <w:rsid w:val="001560F6"/>
    <w:rsid w:val="0015627F"/>
    <w:rsid w:val="00156798"/>
    <w:rsid w:val="00156ACF"/>
    <w:rsid w:val="00156BF6"/>
    <w:rsid w:val="00156D53"/>
    <w:rsid w:val="00156E3D"/>
    <w:rsid w:val="001570A3"/>
    <w:rsid w:val="00157330"/>
    <w:rsid w:val="00157732"/>
    <w:rsid w:val="0015782C"/>
    <w:rsid w:val="00157838"/>
    <w:rsid w:val="00157AE5"/>
    <w:rsid w:val="00157BAC"/>
    <w:rsid w:val="00157C6B"/>
    <w:rsid w:val="0016018E"/>
    <w:rsid w:val="0016019E"/>
    <w:rsid w:val="0016028B"/>
    <w:rsid w:val="001603AC"/>
    <w:rsid w:val="00160537"/>
    <w:rsid w:val="0016058D"/>
    <w:rsid w:val="001605EA"/>
    <w:rsid w:val="0016060A"/>
    <w:rsid w:val="00160748"/>
    <w:rsid w:val="00160924"/>
    <w:rsid w:val="00160974"/>
    <w:rsid w:val="00160C3F"/>
    <w:rsid w:val="00160D6D"/>
    <w:rsid w:val="00160F0F"/>
    <w:rsid w:val="00160FBB"/>
    <w:rsid w:val="00160FBE"/>
    <w:rsid w:val="001610EF"/>
    <w:rsid w:val="0016120C"/>
    <w:rsid w:val="00161399"/>
    <w:rsid w:val="0016155B"/>
    <w:rsid w:val="0016155F"/>
    <w:rsid w:val="00161647"/>
    <w:rsid w:val="00161851"/>
    <w:rsid w:val="00161B5A"/>
    <w:rsid w:val="00161BD3"/>
    <w:rsid w:val="00161BEC"/>
    <w:rsid w:val="00161DFD"/>
    <w:rsid w:val="00162144"/>
    <w:rsid w:val="001622CB"/>
    <w:rsid w:val="0016244C"/>
    <w:rsid w:val="001625EF"/>
    <w:rsid w:val="001626A1"/>
    <w:rsid w:val="00162716"/>
    <w:rsid w:val="0016277A"/>
    <w:rsid w:val="0016293F"/>
    <w:rsid w:val="00163049"/>
    <w:rsid w:val="001630B7"/>
    <w:rsid w:val="001630C6"/>
    <w:rsid w:val="0016329A"/>
    <w:rsid w:val="00163504"/>
    <w:rsid w:val="00163663"/>
    <w:rsid w:val="0016366D"/>
    <w:rsid w:val="00163688"/>
    <w:rsid w:val="00163785"/>
    <w:rsid w:val="001637A4"/>
    <w:rsid w:val="00163B79"/>
    <w:rsid w:val="00163CB2"/>
    <w:rsid w:val="00163D92"/>
    <w:rsid w:val="001641C1"/>
    <w:rsid w:val="001642D6"/>
    <w:rsid w:val="001642F3"/>
    <w:rsid w:val="001643B2"/>
    <w:rsid w:val="001646BA"/>
    <w:rsid w:val="00164747"/>
    <w:rsid w:val="0016485E"/>
    <w:rsid w:val="001649DE"/>
    <w:rsid w:val="00164A94"/>
    <w:rsid w:val="00164BE5"/>
    <w:rsid w:val="00164F4E"/>
    <w:rsid w:val="00164F95"/>
    <w:rsid w:val="00165308"/>
    <w:rsid w:val="001655CF"/>
    <w:rsid w:val="00165641"/>
    <w:rsid w:val="00165692"/>
    <w:rsid w:val="001657A8"/>
    <w:rsid w:val="001658AD"/>
    <w:rsid w:val="00165ADD"/>
    <w:rsid w:val="00165D50"/>
    <w:rsid w:val="00166160"/>
    <w:rsid w:val="0016629B"/>
    <w:rsid w:val="00166354"/>
    <w:rsid w:val="00166358"/>
    <w:rsid w:val="00166409"/>
    <w:rsid w:val="0016676F"/>
    <w:rsid w:val="0016684C"/>
    <w:rsid w:val="00166889"/>
    <w:rsid w:val="00166C31"/>
    <w:rsid w:val="00166E88"/>
    <w:rsid w:val="00166EC9"/>
    <w:rsid w:val="001670D7"/>
    <w:rsid w:val="0016732A"/>
    <w:rsid w:val="001673A4"/>
    <w:rsid w:val="00167585"/>
    <w:rsid w:val="0016761A"/>
    <w:rsid w:val="00167AA4"/>
    <w:rsid w:val="00167C8C"/>
    <w:rsid w:val="001703B8"/>
    <w:rsid w:val="001705CE"/>
    <w:rsid w:val="00170639"/>
    <w:rsid w:val="00170928"/>
    <w:rsid w:val="00170B20"/>
    <w:rsid w:val="00170B7E"/>
    <w:rsid w:val="00170D0C"/>
    <w:rsid w:val="00170F52"/>
    <w:rsid w:val="00171093"/>
    <w:rsid w:val="00171155"/>
    <w:rsid w:val="00171361"/>
    <w:rsid w:val="0017156F"/>
    <w:rsid w:val="00171577"/>
    <w:rsid w:val="0017171F"/>
    <w:rsid w:val="00171927"/>
    <w:rsid w:val="00171B3F"/>
    <w:rsid w:val="00171F37"/>
    <w:rsid w:val="001724DA"/>
    <w:rsid w:val="00172793"/>
    <w:rsid w:val="00172A30"/>
    <w:rsid w:val="00172C35"/>
    <w:rsid w:val="00172CA4"/>
    <w:rsid w:val="00172EC1"/>
    <w:rsid w:val="0017332C"/>
    <w:rsid w:val="0017333E"/>
    <w:rsid w:val="001734A4"/>
    <w:rsid w:val="00173567"/>
    <w:rsid w:val="00173975"/>
    <w:rsid w:val="00174031"/>
    <w:rsid w:val="001740DA"/>
    <w:rsid w:val="00174559"/>
    <w:rsid w:val="001745A6"/>
    <w:rsid w:val="001745C3"/>
    <w:rsid w:val="00174622"/>
    <w:rsid w:val="001746FA"/>
    <w:rsid w:val="001748B0"/>
    <w:rsid w:val="00174930"/>
    <w:rsid w:val="00174B4C"/>
    <w:rsid w:val="00174BA7"/>
    <w:rsid w:val="00174C96"/>
    <w:rsid w:val="00174E15"/>
    <w:rsid w:val="00174EBB"/>
    <w:rsid w:val="00174FA7"/>
    <w:rsid w:val="001750EE"/>
    <w:rsid w:val="001753AE"/>
    <w:rsid w:val="0017557B"/>
    <w:rsid w:val="001755F2"/>
    <w:rsid w:val="00175653"/>
    <w:rsid w:val="00175A1F"/>
    <w:rsid w:val="00175A89"/>
    <w:rsid w:val="00175C97"/>
    <w:rsid w:val="00175CB9"/>
    <w:rsid w:val="001765C9"/>
    <w:rsid w:val="001767CD"/>
    <w:rsid w:val="001768FD"/>
    <w:rsid w:val="00176D96"/>
    <w:rsid w:val="00176F7B"/>
    <w:rsid w:val="00176FCE"/>
    <w:rsid w:val="00177068"/>
    <w:rsid w:val="001771E1"/>
    <w:rsid w:val="00177351"/>
    <w:rsid w:val="0017740C"/>
    <w:rsid w:val="00177C4C"/>
    <w:rsid w:val="00177D5D"/>
    <w:rsid w:val="001800D2"/>
    <w:rsid w:val="001803EF"/>
    <w:rsid w:val="001805C1"/>
    <w:rsid w:val="001805FD"/>
    <w:rsid w:val="00180749"/>
    <w:rsid w:val="00180761"/>
    <w:rsid w:val="00180A2C"/>
    <w:rsid w:val="00180A77"/>
    <w:rsid w:val="00180D73"/>
    <w:rsid w:val="00181059"/>
    <w:rsid w:val="001813E8"/>
    <w:rsid w:val="00181534"/>
    <w:rsid w:val="00181783"/>
    <w:rsid w:val="001817A2"/>
    <w:rsid w:val="001818BA"/>
    <w:rsid w:val="00181991"/>
    <w:rsid w:val="00181A22"/>
    <w:rsid w:val="00181DF6"/>
    <w:rsid w:val="00181FD8"/>
    <w:rsid w:val="001821DF"/>
    <w:rsid w:val="0018224A"/>
    <w:rsid w:val="00182393"/>
    <w:rsid w:val="001827AD"/>
    <w:rsid w:val="00182A25"/>
    <w:rsid w:val="00182AE8"/>
    <w:rsid w:val="00182BA5"/>
    <w:rsid w:val="00182DCA"/>
    <w:rsid w:val="00182F05"/>
    <w:rsid w:val="00182F37"/>
    <w:rsid w:val="00183017"/>
    <w:rsid w:val="0018320E"/>
    <w:rsid w:val="0018336C"/>
    <w:rsid w:val="0018336D"/>
    <w:rsid w:val="00183772"/>
    <w:rsid w:val="00183816"/>
    <w:rsid w:val="0018397B"/>
    <w:rsid w:val="001839D8"/>
    <w:rsid w:val="00183A71"/>
    <w:rsid w:val="00183B5D"/>
    <w:rsid w:val="00183E3D"/>
    <w:rsid w:val="0018409B"/>
    <w:rsid w:val="00184228"/>
    <w:rsid w:val="00184437"/>
    <w:rsid w:val="001847AE"/>
    <w:rsid w:val="00184BB5"/>
    <w:rsid w:val="00184BF9"/>
    <w:rsid w:val="0018504A"/>
    <w:rsid w:val="001852F8"/>
    <w:rsid w:val="00185327"/>
    <w:rsid w:val="00185586"/>
    <w:rsid w:val="0018577B"/>
    <w:rsid w:val="001857C7"/>
    <w:rsid w:val="0018593F"/>
    <w:rsid w:val="00185A10"/>
    <w:rsid w:val="00185A3E"/>
    <w:rsid w:val="00185A8A"/>
    <w:rsid w:val="00185BD4"/>
    <w:rsid w:val="00185C8F"/>
    <w:rsid w:val="00185DEA"/>
    <w:rsid w:val="00185EFA"/>
    <w:rsid w:val="00186297"/>
    <w:rsid w:val="00186323"/>
    <w:rsid w:val="001864ED"/>
    <w:rsid w:val="001865AC"/>
    <w:rsid w:val="00186782"/>
    <w:rsid w:val="00186803"/>
    <w:rsid w:val="00186879"/>
    <w:rsid w:val="00186976"/>
    <w:rsid w:val="00186B67"/>
    <w:rsid w:val="00186BB1"/>
    <w:rsid w:val="00186D01"/>
    <w:rsid w:val="001871D1"/>
    <w:rsid w:val="001872EA"/>
    <w:rsid w:val="0018740D"/>
    <w:rsid w:val="00187544"/>
    <w:rsid w:val="0018755D"/>
    <w:rsid w:val="001876AC"/>
    <w:rsid w:val="00187A80"/>
    <w:rsid w:val="00187AFA"/>
    <w:rsid w:val="00187B9E"/>
    <w:rsid w:val="00187BE3"/>
    <w:rsid w:val="00187C69"/>
    <w:rsid w:val="00187C74"/>
    <w:rsid w:val="00187D67"/>
    <w:rsid w:val="00187D95"/>
    <w:rsid w:val="00187FBC"/>
    <w:rsid w:val="0019005A"/>
    <w:rsid w:val="001901A4"/>
    <w:rsid w:val="0019048C"/>
    <w:rsid w:val="0019052E"/>
    <w:rsid w:val="00190927"/>
    <w:rsid w:val="001909C5"/>
    <w:rsid w:val="00190C88"/>
    <w:rsid w:val="00190CA0"/>
    <w:rsid w:val="00190CAF"/>
    <w:rsid w:val="00190F52"/>
    <w:rsid w:val="00191118"/>
    <w:rsid w:val="001914F6"/>
    <w:rsid w:val="001916DD"/>
    <w:rsid w:val="0019180F"/>
    <w:rsid w:val="00191E45"/>
    <w:rsid w:val="001921EC"/>
    <w:rsid w:val="001925BB"/>
    <w:rsid w:val="00192AC5"/>
    <w:rsid w:val="00192B78"/>
    <w:rsid w:val="00192BE7"/>
    <w:rsid w:val="00192CEC"/>
    <w:rsid w:val="00192F61"/>
    <w:rsid w:val="001930F5"/>
    <w:rsid w:val="00193455"/>
    <w:rsid w:val="00193668"/>
    <w:rsid w:val="00193AD3"/>
    <w:rsid w:val="00193B81"/>
    <w:rsid w:val="00193BA6"/>
    <w:rsid w:val="00193CC1"/>
    <w:rsid w:val="0019407F"/>
    <w:rsid w:val="001940ED"/>
    <w:rsid w:val="001940F1"/>
    <w:rsid w:val="0019419C"/>
    <w:rsid w:val="00194201"/>
    <w:rsid w:val="00194220"/>
    <w:rsid w:val="001944A9"/>
    <w:rsid w:val="00194692"/>
    <w:rsid w:val="00194AE7"/>
    <w:rsid w:val="00194B62"/>
    <w:rsid w:val="00194E5C"/>
    <w:rsid w:val="00194F29"/>
    <w:rsid w:val="0019502D"/>
    <w:rsid w:val="00195131"/>
    <w:rsid w:val="00195171"/>
    <w:rsid w:val="00195221"/>
    <w:rsid w:val="001956AD"/>
    <w:rsid w:val="00195B3C"/>
    <w:rsid w:val="00195C08"/>
    <w:rsid w:val="0019628F"/>
    <w:rsid w:val="001966AC"/>
    <w:rsid w:val="0019699C"/>
    <w:rsid w:val="00196A1C"/>
    <w:rsid w:val="00196A9F"/>
    <w:rsid w:val="00196EAD"/>
    <w:rsid w:val="00197067"/>
    <w:rsid w:val="0019708D"/>
    <w:rsid w:val="001971EE"/>
    <w:rsid w:val="0019737B"/>
    <w:rsid w:val="00197392"/>
    <w:rsid w:val="001977B0"/>
    <w:rsid w:val="001979A1"/>
    <w:rsid w:val="001A0449"/>
    <w:rsid w:val="001A073B"/>
    <w:rsid w:val="001A0812"/>
    <w:rsid w:val="001A0887"/>
    <w:rsid w:val="001A0B2E"/>
    <w:rsid w:val="001A0BC5"/>
    <w:rsid w:val="001A0BC8"/>
    <w:rsid w:val="001A0BCD"/>
    <w:rsid w:val="001A0BEE"/>
    <w:rsid w:val="001A0CA3"/>
    <w:rsid w:val="001A0EF0"/>
    <w:rsid w:val="001A0FEA"/>
    <w:rsid w:val="001A155F"/>
    <w:rsid w:val="001A19B6"/>
    <w:rsid w:val="001A19C9"/>
    <w:rsid w:val="001A19EC"/>
    <w:rsid w:val="001A1C04"/>
    <w:rsid w:val="001A1D0E"/>
    <w:rsid w:val="001A1E66"/>
    <w:rsid w:val="001A1F50"/>
    <w:rsid w:val="001A2083"/>
    <w:rsid w:val="001A20DB"/>
    <w:rsid w:val="001A21B9"/>
    <w:rsid w:val="001A2410"/>
    <w:rsid w:val="001A24A0"/>
    <w:rsid w:val="001A2CAC"/>
    <w:rsid w:val="001A2EE2"/>
    <w:rsid w:val="001A2F50"/>
    <w:rsid w:val="001A3269"/>
    <w:rsid w:val="001A341B"/>
    <w:rsid w:val="001A348E"/>
    <w:rsid w:val="001A37BE"/>
    <w:rsid w:val="001A39A8"/>
    <w:rsid w:val="001A3A6B"/>
    <w:rsid w:val="001A3BAB"/>
    <w:rsid w:val="001A3C8E"/>
    <w:rsid w:val="001A3CCD"/>
    <w:rsid w:val="001A3FB5"/>
    <w:rsid w:val="001A4213"/>
    <w:rsid w:val="001A4273"/>
    <w:rsid w:val="001A45DC"/>
    <w:rsid w:val="001A46DF"/>
    <w:rsid w:val="001A494D"/>
    <w:rsid w:val="001A4B63"/>
    <w:rsid w:val="001A4CB8"/>
    <w:rsid w:val="001A4CBF"/>
    <w:rsid w:val="001A4E9F"/>
    <w:rsid w:val="001A528A"/>
    <w:rsid w:val="001A56DE"/>
    <w:rsid w:val="001A5754"/>
    <w:rsid w:val="001A58A7"/>
    <w:rsid w:val="001A595C"/>
    <w:rsid w:val="001A59BC"/>
    <w:rsid w:val="001A5BB5"/>
    <w:rsid w:val="001A5DA7"/>
    <w:rsid w:val="001A6392"/>
    <w:rsid w:val="001A63F8"/>
    <w:rsid w:val="001A64D8"/>
    <w:rsid w:val="001A66DD"/>
    <w:rsid w:val="001A67C5"/>
    <w:rsid w:val="001A67EB"/>
    <w:rsid w:val="001A6839"/>
    <w:rsid w:val="001A695F"/>
    <w:rsid w:val="001A698A"/>
    <w:rsid w:val="001A69EB"/>
    <w:rsid w:val="001A6BA1"/>
    <w:rsid w:val="001A6CF8"/>
    <w:rsid w:val="001A6D88"/>
    <w:rsid w:val="001A6DFF"/>
    <w:rsid w:val="001A708F"/>
    <w:rsid w:val="001A72A7"/>
    <w:rsid w:val="001A72B7"/>
    <w:rsid w:val="001A7991"/>
    <w:rsid w:val="001A7ACB"/>
    <w:rsid w:val="001A7B83"/>
    <w:rsid w:val="001A7E68"/>
    <w:rsid w:val="001A7EA3"/>
    <w:rsid w:val="001A7F03"/>
    <w:rsid w:val="001B0110"/>
    <w:rsid w:val="001B0333"/>
    <w:rsid w:val="001B0342"/>
    <w:rsid w:val="001B0347"/>
    <w:rsid w:val="001B0430"/>
    <w:rsid w:val="001B04F6"/>
    <w:rsid w:val="001B07FA"/>
    <w:rsid w:val="001B0903"/>
    <w:rsid w:val="001B094E"/>
    <w:rsid w:val="001B0AA8"/>
    <w:rsid w:val="001B0B07"/>
    <w:rsid w:val="001B0BEE"/>
    <w:rsid w:val="001B141D"/>
    <w:rsid w:val="001B1B97"/>
    <w:rsid w:val="001B1C62"/>
    <w:rsid w:val="001B1CE2"/>
    <w:rsid w:val="001B1D2F"/>
    <w:rsid w:val="001B1E07"/>
    <w:rsid w:val="001B21FF"/>
    <w:rsid w:val="001B249D"/>
    <w:rsid w:val="001B26D2"/>
    <w:rsid w:val="001B2736"/>
    <w:rsid w:val="001B282E"/>
    <w:rsid w:val="001B2968"/>
    <w:rsid w:val="001B2BB8"/>
    <w:rsid w:val="001B2ED2"/>
    <w:rsid w:val="001B2F53"/>
    <w:rsid w:val="001B32F7"/>
    <w:rsid w:val="001B35C0"/>
    <w:rsid w:val="001B360A"/>
    <w:rsid w:val="001B3708"/>
    <w:rsid w:val="001B3F71"/>
    <w:rsid w:val="001B3F95"/>
    <w:rsid w:val="001B4028"/>
    <w:rsid w:val="001B4043"/>
    <w:rsid w:val="001B45BA"/>
    <w:rsid w:val="001B463F"/>
    <w:rsid w:val="001B47E0"/>
    <w:rsid w:val="001B481C"/>
    <w:rsid w:val="001B4A98"/>
    <w:rsid w:val="001B4D64"/>
    <w:rsid w:val="001B501E"/>
    <w:rsid w:val="001B522A"/>
    <w:rsid w:val="001B54B7"/>
    <w:rsid w:val="001B5541"/>
    <w:rsid w:val="001B5752"/>
    <w:rsid w:val="001B57C4"/>
    <w:rsid w:val="001B5800"/>
    <w:rsid w:val="001B5971"/>
    <w:rsid w:val="001B5CC8"/>
    <w:rsid w:val="001B62D6"/>
    <w:rsid w:val="001B62F2"/>
    <w:rsid w:val="001B6504"/>
    <w:rsid w:val="001B6836"/>
    <w:rsid w:val="001B69C6"/>
    <w:rsid w:val="001B69FB"/>
    <w:rsid w:val="001B6B6E"/>
    <w:rsid w:val="001B6B76"/>
    <w:rsid w:val="001B6C70"/>
    <w:rsid w:val="001B6D44"/>
    <w:rsid w:val="001B6E46"/>
    <w:rsid w:val="001B6EB7"/>
    <w:rsid w:val="001B6FDE"/>
    <w:rsid w:val="001B7172"/>
    <w:rsid w:val="001B735C"/>
    <w:rsid w:val="001B7555"/>
    <w:rsid w:val="001B7974"/>
    <w:rsid w:val="001B7CCC"/>
    <w:rsid w:val="001B7D2A"/>
    <w:rsid w:val="001B7EB2"/>
    <w:rsid w:val="001C0393"/>
    <w:rsid w:val="001C042B"/>
    <w:rsid w:val="001C073C"/>
    <w:rsid w:val="001C0A0E"/>
    <w:rsid w:val="001C0BE9"/>
    <w:rsid w:val="001C0C7A"/>
    <w:rsid w:val="001C0DA0"/>
    <w:rsid w:val="001C1A18"/>
    <w:rsid w:val="001C1D20"/>
    <w:rsid w:val="001C1D8A"/>
    <w:rsid w:val="001C206E"/>
    <w:rsid w:val="001C2192"/>
    <w:rsid w:val="001C2304"/>
    <w:rsid w:val="001C23CF"/>
    <w:rsid w:val="001C2482"/>
    <w:rsid w:val="001C2980"/>
    <w:rsid w:val="001C2A7E"/>
    <w:rsid w:val="001C2BD3"/>
    <w:rsid w:val="001C2DFC"/>
    <w:rsid w:val="001C2E59"/>
    <w:rsid w:val="001C2F77"/>
    <w:rsid w:val="001C305B"/>
    <w:rsid w:val="001C30A3"/>
    <w:rsid w:val="001C30E8"/>
    <w:rsid w:val="001C3360"/>
    <w:rsid w:val="001C33FC"/>
    <w:rsid w:val="001C34FA"/>
    <w:rsid w:val="001C3554"/>
    <w:rsid w:val="001C3569"/>
    <w:rsid w:val="001C3574"/>
    <w:rsid w:val="001C36E7"/>
    <w:rsid w:val="001C36FE"/>
    <w:rsid w:val="001C3779"/>
    <w:rsid w:val="001C391F"/>
    <w:rsid w:val="001C3998"/>
    <w:rsid w:val="001C3B71"/>
    <w:rsid w:val="001C3C40"/>
    <w:rsid w:val="001C3C5D"/>
    <w:rsid w:val="001C3D4E"/>
    <w:rsid w:val="001C3D4F"/>
    <w:rsid w:val="001C4591"/>
    <w:rsid w:val="001C47AF"/>
    <w:rsid w:val="001C4865"/>
    <w:rsid w:val="001C4880"/>
    <w:rsid w:val="001C4919"/>
    <w:rsid w:val="001C4D13"/>
    <w:rsid w:val="001C4E90"/>
    <w:rsid w:val="001C4F18"/>
    <w:rsid w:val="001C5095"/>
    <w:rsid w:val="001C53AD"/>
    <w:rsid w:val="001C53B4"/>
    <w:rsid w:val="001C561F"/>
    <w:rsid w:val="001C5CD0"/>
    <w:rsid w:val="001C5E9C"/>
    <w:rsid w:val="001C6048"/>
    <w:rsid w:val="001C61BB"/>
    <w:rsid w:val="001C61C3"/>
    <w:rsid w:val="001C64AE"/>
    <w:rsid w:val="001C6685"/>
    <w:rsid w:val="001C66A5"/>
    <w:rsid w:val="001C6795"/>
    <w:rsid w:val="001C6872"/>
    <w:rsid w:val="001C694C"/>
    <w:rsid w:val="001C6BAF"/>
    <w:rsid w:val="001C6D60"/>
    <w:rsid w:val="001C6E8F"/>
    <w:rsid w:val="001C6ED6"/>
    <w:rsid w:val="001C7001"/>
    <w:rsid w:val="001C7005"/>
    <w:rsid w:val="001C707F"/>
    <w:rsid w:val="001C734C"/>
    <w:rsid w:val="001C73CD"/>
    <w:rsid w:val="001C778A"/>
    <w:rsid w:val="001C7950"/>
    <w:rsid w:val="001C7A1C"/>
    <w:rsid w:val="001C7A93"/>
    <w:rsid w:val="001C7ED9"/>
    <w:rsid w:val="001D011B"/>
    <w:rsid w:val="001D01A7"/>
    <w:rsid w:val="001D0261"/>
    <w:rsid w:val="001D048A"/>
    <w:rsid w:val="001D04A1"/>
    <w:rsid w:val="001D0579"/>
    <w:rsid w:val="001D0A4B"/>
    <w:rsid w:val="001D0ACC"/>
    <w:rsid w:val="001D0B87"/>
    <w:rsid w:val="001D0E41"/>
    <w:rsid w:val="001D0FEF"/>
    <w:rsid w:val="001D124F"/>
    <w:rsid w:val="001D12AD"/>
    <w:rsid w:val="001D166F"/>
    <w:rsid w:val="001D16C7"/>
    <w:rsid w:val="001D1CB8"/>
    <w:rsid w:val="001D1D32"/>
    <w:rsid w:val="001D1D79"/>
    <w:rsid w:val="001D1E7A"/>
    <w:rsid w:val="001D2152"/>
    <w:rsid w:val="001D21AC"/>
    <w:rsid w:val="001D22C9"/>
    <w:rsid w:val="001D26F3"/>
    <w:rsid w:val="001D280F"/>
    <w:rsid w:val="001D2857"/>
    <w:rsid w:val="001D28EB"/>
    <w:rsid w:val="001D2B78"/>
    <w:rsid w:val="001D2D91"/>
    <w:rsid w:val="001D2E05"/>
    <w:rsid w:val="001D307A"/>
    <w:rsid w:val="001D31FE"/>
    <w:rsid w:val="001D3612"/>
    <w:rsid w:val="001D40EC"/>
    <w:rsid w:val="001D4316"/>
    <w:rsid w:val="001D4345"/>
    <w:rsid w:val="001D45A1"/>
    <w:rsid w:val="001D45F2"/>
    <w:rsid w:val="001D4989"/>
    <w:rsid w:val="001D4D40"/>
    <w:rsid w:val="001D4E02"/>
    <w:rsid w:val="001D50DC"/>
    <w:rsid w:val="001D522D"/>
    <w:rsid w:val="001D527A"/>
    <w:rsid w:val="001D532A"/>
    <w:rsid w:val="001D5414"/>
    <w:rsid w:val="001D543B"/>
    <w:rsid w:val="001D57E4"/>
    <w:rsid w:val="001D59E3"/>
    <w:rsid w:val="001D5AEF"/>
    <w:rsid w:val="001D5D5E"/>
    <w:rsid w:val="001D6172"/>
    <w:rsid w:val="001D6178"/>
    <w:rsid w:val="001D6334"/>
    <w:rsid w:val="001D6666"/>
    <w:rsid w:val="001D668B"/>
    <w:rsid w:val="001D66DA"/>
    <w:rsid w:val="001D686C"/>
    <w:rsid w:val="001D687F"/>
    <w:rsid w:val="001D6B2D"/>
    <w:rsid w:val="001D6FE7"/>
    <w:rsid w:val="001D7086"/>
    <w:rsid w:val="001D7270"/>
    <w:rsid w:val="001D733D"/>
    <w:rsid w:val="001D74FA"/>
    <w:rsid w:val="001D7691"/>
    <w:rsid w:val="001D7800"/>
    <w:rsid w:val="001D7888"/>
    <w:rsid w:val="001D7ADB"/>
    <w:rsid w:val="001D7ADC"/>
    <w:rsid w:val="001E013F"/>
    <w:rsid w:val="001E0300"/>
    <w:rsid w:val="001E0516"/>
    <w:rsid w:val="001E0633"/>
    <w:rsid w:val="001E0677"/>
    <w:rsid w:val="001E0823"/>
    <w:rsid w:val="001E0A2E"/>
    <w:rsid w:val="001E0BAA"/>
    <w:rsid w:val="001E0C50"/>
    <w:rsid w:val="001E0D78"/>
    <w:rsid w:val="001E0DD4"/>
    <w:rsid w:val="001E1065"/>
    <w:rsid w:val="001E13B0"/>
    <w:rsid w:val="001E1785"/>
    <w:rsid w:val="001E19E5"/>
    <w:rsid w:val="001E19EA"/>
    <w:rsid w:val="001E1C93"/>
    <w:rsid w:val="001E1FA7"/>
    <w:rsid w:val="001E1FC8"/>
    <w:rsid w:val="001E2101"/>
    <w:rsid w:val="001E230E"/>
    <w:rsid w:val="001E2533"/>
    <w:rsid w:val="001E2A98"/>
    <w:rsid w:val="001E2DF8"/>
    <w:rsid w:val="001E2FDE"/>
    <w:rsid w:val="001E31A8"/>
    <w:rsid w:val="001E3291"/>
    <w:rsid w:val="001E32CB"/>
    <w:rsid w:val="001E32EB"/>
    <w:rsid w:val="001E334C"/>
    <w:rsid w:val="001E34A4"/>
    <w:rsid w:val="001E34AA"/>
    <w:rsid w:val="001E34F4"/>
    <w:rsid w:val="001E37E2"/>
    <w:rsid w:val="001E3828"/>
    <w:rsid w:val="001E38A9"/>
    <w:rsid w:val="001E394C"/>
    <w:rsid w:val="001E3B91"/>
    <w:rsid w:val="001E3C17"/>
    <w:rsid w:val="001E3CD4"/>
    <w:rsid w:val="001E4144"/>
    <w:rsid w:val="001E4146"/>
    <w:rsid w:val="001E41DF"/>
    <w:rsid w:val="001E4460"/>
    <w:rsid w:val="001E44B2"/>
    <w:rsid w:val="001E453D"/>
    <w:rsid w:val="001E453E"/>
    <w:rsid w:val="001E481F"/>
    <w:rsid w:val="001E49CD"/>
    <w:rsid w:val="001E4BFE"/>
    <w:rsid w:val="001E4C30"/>
    <w:rsid w:val="001E4F86"/>
    <w:rsid w:val="001E5011"/>
    <w:rsid w:val="001E51BB"/>
    <w:rsid w:val="001E51E6"/>
    <w:rsid w:val="001E5229"/>
    <w:rsid w:val="001E53B7"/>
    <w:rsid w:val="001E54E6"/>
    <w:rsid w:val="001E558E"/>
    <w:rsid w:val="001E585F"/>
    <w:rsid w:val="001E59B1"/>
    <w:rsid w:val="001E5B10"/>
    <w:rsid w:val="001E5C13"/>
    <w:rsid w:val="001E5C2C"/>
    <w:rsid w:val="001E5EC5"/>
    <w:rsid w:val="001E5F05"/>
    <w:rsid w:val="001E60F9"/>
    <w:rsid w:val="001E61E5"/>
    <w:rsid w:val="001E651B"/>
    <w:rsid w:val="001E66B1"/>
    <w:rsid w:val="001E66F9"/>
    <w:rsid w:val="001E69E8"/>
    <w:rsid w:val="001E6BF8"/>
    <w:rsid w:val="001E6C15"/>
    <w:rsid w:val="001E6DE0"/>
    <w:rsid w:val="001E6F4A"/>
    <w:rsid w:val="001E6F85"/>
    <w:rsid w:val="001E763B"/>
    <w:rsid w:val="001E784F"/>
    <w:rsid w:val="001E7B2A"/>
    <w:rsid w:val="001E7D00"/>
    <w:rsid w:val="001E7DA4"/>
    <w:rsid w:val="001E7F63"/>
    <w:rsid w:val="001F051A"/>
    <w:rsid w:val="001F05ED"/>
    <w:rsid w:val="001F0DE9"/>
    <w:rsid w:val="001F1110"/>
    <w:rsid w:val="001F11BC"/>
    <w:rsid w:val="001F1206"/>
    <w:rsid w:val="001F1218"/>
    <w:rsid w:val="001F1341"/>
    <w:rsid w:val="001F14D5"/>
    <w:rsid w:val="001F1784"/>
    <w:rsid w:val="001F183D"/>
    <w:rsid w:val="001F1887"/>
    <w:rsid w:val="001F1C6F"/>
    <w:rsid w:val="001F1D2C"/>
    <w:rsid w:val="001F1D48"/>
    <w:rsid w:val="001F1D8F"/>
    <w:rsid w:val="001F1DE2"/>
    <w:rsid w:val="001F1E84"/>
    <w:rsid w:val="001F1E9D"/>
    <w:rsid w:val="001F1F98"/>
    <w:rsid w:val="001F1FAE"/>
    <w:rsid w:val="001F20B5"/>
    <w:rsid w:val="001F210D"/>
    <w:rsid w:val="001F2228"/>
    <w:rsid w:val="001F22DB"/>
    <w:rsid w:val="001F22FC"/>
    <w:rsid w:val="001F2445"/>
    <w:rsid w:val="001F2498"/>
    <w:rsid w:val="001F24CC"/>
    <w:rsid w:val="001F2513"/>
    <w:rsid w:val="001F282E"/>
    <w:rsid w:val="001F2B79"/>
    <w:rsid w:val="001F2BBE"/>
    <w:rsid w:val="001F2C71"/>
    <w:rsid w:val="001F2E96"/>
    <w:rsid w:val="001F2FE0"/>
    <w:rsid w:val="001F33D6"/>
    <w:rsid w:val="001F35F4"/>
    <w:rsid w:val="001F365B"/>
    <w:rsid w:val="001F37CA"/>
    <w:rsid w:val="001F3830"/>
    <w:rsid w:val="001F3852"/>
    <w:rsid w:val="001F396C"/>
    <w:rsid w:val="001F3B0B"/>
    <w:rsid w:val="001F3C7C"/>
    <w:rsid w:val="001F3F51"/>
    <w:rsid w:val="001F3F87"/>
    <w:rsid w:val="001F40E1"/>
    <w:rsid w:val="001F412A"/>
    <w:rsid w:val="001F437D"/>
    <w:rsid w:val="001F43E1"/>
    <w:rsid w:val="001F45F4"/>
    <w:rsid w:val="001F4602"/>
    <w:rsid w:val="001F463D"/>
    <w:rsid w:val="001F472D"/>
    <w:rsid w:val="001F47C1"/>
    <w:rsid w:val="001F4949"/>
    <w:rsid w:val="001F4C07"/>
    <w:rsid w:val="001F4D89"/>
    <w:rsid w:val="001F4E41"/>
    <w:rsid w:val="001F4F61"/>
    <w:rsid w:val="001F533D"/>
    <w:rsid w:val="001F555B"/>
    <w:rsid w:val="001F565C"/>
    <w:rsid w:val="001F56BA"/>
    <w:rsid w:val="001F57FD"/>
    <w:rsid w:val="001F5857"/>
    <w:rsid w:val="001F5889"/>
    <w:rsid w:val="001F5A00"/>
    <w:rsid w:val="001F5B0D"/>
    <w:rsid w:val="001F629B"/>
    <w:rsid w:val="001F62A5"/>
    <w:rsid w:val="001F62B4"/>
    <w:rsid w:val="001F6349"/>
    <w:rsid w:val="001F6351"/>
    <w:rsid w:val="001F643E"/>
    <w:rsid w:val="001F6513"/>
    <w:rsid w:val="001F69C3"/>
    <w:rsid w:val="001F69DE"/>
    <w:rsid w:val="001F6D70"/>
    <w:rsid w:val="001F6E6F"/>
    <w:rsid w:val="001F70FE"/>
    <w:rsid w:val="001F7390"/>
    <w:rsid w:val="001F7553"/>
    <w:rsid w:val="001F7837"/>
    <w:rsid w:val="001F78C0"/>
    <w:rsid w:val="001F7A23"/>
    <w:rsid w:val="001F7A93"/>
    <w:rsid w:val="001F7AF4"/>
    <w:rsid w:val="001F7BFF"/>
    <w:rsid w:val="001F7EB2"/>
    <w:rsid w:val="00200207"/>
    <w:rsid w:val="00200283"/>
    <w:rsid w:val="00200490"/>
    <w:rsid w:val="0020049C"/>
    <w:rsid w:val="00200525"/>
    <w:rsid w:val="0020053F"/>
    <w:rsid w:val="002007B9"/>
    <w:rsid w:val="00200C68"/>
    <w:rsid w:val="00200CAA"/>
    <w:rsid w:val="00200E45"/>
    <w:rsid w:val="00200E9F"/>
    <w:rsid w:val="00200F12"/>
    <w:rsid w:val="002011E2"/>
    <w:rsid w:val="002011F6"/>
    <w:rsid w:val="00201415"/>
    <w:rsid w:val="0020144E"/>
    <w:rsid w:val="002018D1"/>
    <w:rsid w:val="0020191C"/>
    <w:rsid w:val="00201C05"/>
    <w:rsid w:val="00201DDD"/>
    <w:rsid w:val="00201F97"/>
    <w:rsid w:val="0020216F"/>
    <w:rsid w:val="0020231A"/>
    <w:rsid w:val="00202672"/>
    <w:rsid w:val="002027DA"/>
    <w:rsid w:val="00202808"/>
    <w:rsid w:val="00202DFC"/>
    <w:rsid w:val="00202ED9"/>
    <w:rsid w:val="002031A2"/>
    <w:rsid w:val="00203668"/>
    <w:rsid w:val="0020366A"/>
    <w:rsid w:val="002039EF"/>
    <w:rsid w:val="00203D6F"/>
    <w:rsid w:val="00203F06"/>
    <w:rsid w:val="00204014"/>
    <w:rsid w:val="00204190"/>
    <w:rsid w:val="00204319"/>
    <w:rsid w:val="00204341"/>
    <w:rsid w:val="00204358"/>
    <w:rsid w:val="00204429"/>
    <w:rsid w:val="002044EF"/>
    <w:rsid w:val="0020460B"/>
    <w:rsid w:val="00204999"/>
    <w:rsid w:val="002049A7"/>
    <w:rsid w:val="00204A71"/>
    <w:rsid w:val="00204A87"/>
    <w:rsid w:val="00204AD6"/>
    <w:rsid w:val="00204D4E"/>
    <w:rsid w:val="0020507B"/>
    <w:rsid w:val="00205102"/>
    <w:rsid w:val="00205283"/>
    <w:rsid w:val="00205424"/>
    <w:rsid w:val="00205793"/>
    <w:rsid w:val="00205AE5"/>
    <w:rsid w:val="00205BDC"/>
    <w:rsid w:val="00205CCD"/>
    <w:rsid w:val="00205CDE"/>
    <w:rsid w:val="00205E5A"/>
    <w:rsid w:val="00205F21"/>
    <w:rsid w:val="00205FA2"/>
    <w:rsid w:val="0020607E"/>
    <w:rsid w:val="00206117"/>
    <w:rsid w:val="0020635A"/>
    <w:rsid w:val="002064E4"/>
    <w:rsid w:val="0020673D"/>
    <w:rsid w:val="00206B4C"/>
    <w:rsid w:val="00206DF0"/>
    <w:rsid w:val="00206E98"/>
    <w:rsid w:val="00206EBB"/>
    <w:rsid w:val="00206F27"/>
    <w:rsid w:val="00206FE1"/>
    <w:rsid w:val="0020716B"/>
    <w:rsid w:val="002072B2"/>
    <w:rsid w:val="00207303"/>
    <w:rsid w:val="0020735A"/>
    <w:rsid w:val="00207427"/>
    <w:rsid w:val="0020743D"/>
    <w:rsid w:val="00207579"/>
    <w:rsid w:val="00207B09"/>
    <w:rsid w:val="00207B24"/>
    <w:rsid w:val="00207FCB"/>
    <w:rsid w:val="002102E2"/>
    <w:rsid w:val="002103AD"/>
    <w:rsid w:val="0021040A"/>
    <w:rsid w:val="00210452"/>
    <w:rsid w:val="00210465"/>
    <w:rsid w:val="0021049B"/>
    <w:rsid w:val="0021054E"/>
    <w:rsid w:val="002109FA"/>
    <w:rsid w:val="00210C61"/>
    <w:rsid w:val="00210C69"/>
    <w:rsid w:val="00211174"/>
    <w:rsid w:val="0021151C"/>
    <w:rsid w:val="002116C3"/>
    <w:rsid w:val="0021186B"/>
    <w:rsid w:val="00211A7D"/>
    <w:rsid w:val="00211D82"/>
    <w:rsid w:val="002122A8"/>
    <w:rsid w:val="00212391"/>
    <w:rsid w:val="002124AB"/>
    <w:rsid w:val="002124E4"/>
    <w:rsid w:val="002125DE"/>
    <w:rsid w:val="00212616"/>
    <w:rsid w:val="00212C5F"/>
    <w:rsid w:val="00212EE6"/>
    <w:rsid w:val="002135AB"/>
    <w:rsid w:val="00213688"/>
    <w:rsid w:val="002137B1"/>
    <w:rsid w:val="00213B09"/>
    <w:rsid w:val="00213B3E"/>
    <w:rsid w:val="00213C61"/>
    <w:rsid w:val="00213E62"/>
    <w:rsid w:val="00214131"/>
    <w:rsid w:val="002143E4"/>
    <w:rsid w:val="0021448F"/>
    <w:rsid w:val="00214554"/>
    <w:rsid w:val="00214644"/>
    <w:rsid w:val="00214647"/>
    <w:rsid w:val="00214670"/>
    <w:rsid w:val="00214673"/>
    <w:rsid w:val="00214FDF"/>
    <w:rsid w:val="00215055"/>
    <w:rsid w:val="0021511C"/>
    <w:rsid w:val="002152B7"/>
    <w:rsid w:val="00215482"/>
    <w:rsid w:val="002155C4"/>
    <w:rsid w:val="0021565A"/>
    <w:rsid w:val="00215872"/>
    <w:rsid w:val="00215A70"/>
    <w:rsid w:val="00215D64"/>
    <w:rsid w:val="00215E09"/>
    <w:rsid w:val="00215E9E"/>
    <w:rsid w:val="0021610B"/>
    <w:rsid w:val="002162E4"/>
    <w:rsid w:val="002164A6"/>
    <w:rsid w:val="00216528"/>
    <w:rsid w:val="00216580"/>
    <w:rsid w:val="002165A2"/>
    <w:rsid w:val="002167AE"/>
    <w:rsid w:val="00216817"/>
    <w:rsid w:val="002168AD"/>
    <w:rsid w:val="002168BB"/>
    <w:rsid w:val="00216A1E"/>
    <w:rsid w:val="00216AE9"/>
    <w:rsid w:val="00216BBF"/>
    <w:rsid w:val="00216FE2"/>
    <w:rsid w:val="0021725D"/>
    <w:rsid w:val="002173EA"/>
    <w:rsid w:val="002179B9"/>
    <w:rsid w:val="00217AF7"/>
    <w:rsid w:val="00217BB7"/>
    <w:rsid w:val="00217CCB"/>
    <w:rsid w:val="00220098"/>
    <w:rsid w:val="002200D5"/>
    <w:rsid w:val="002203F0"/>
    <w:rsid w:val="00220423"/>
    <w:rsid w:val="0022050F"/>
    <w:rsid w:val="002206FA"/>
    <w:rsid w:val="002207FD"/>
    <w:rsid w:val="002208FB"/>
    <w:rsid w:val="00220DB7"/>
    <w:rsid w:val="00221089"/>
    <w:rsid w:val="002211C5"/>
    <w:rsid w:val="002213A0"/>
    <w:rsid w:val="0022158F"/>
    <w:rsid w:val="002216C0"/>
    <w:rsid w:val="00221A41"/>
    <w:rsid w:val="00221AB1"/>
    <w:rsid w:val="00221B1C"/>
    <w:rsid w:val="00221C21"/>
    <w:rsid w:val="00221D1C"/>
    <w:rsid w:val="00221F51"/>
    <w:rsid w:val="0022204A"/>
    <w:rsid w:val="00222520"/>
    <w:rsid w:val="00222574"/>
    <w:rsid w:val="002225CA"/>
    <w:rsid w:val="00222852"/>
    <w:rsid w:val="002228E8"/>
    <w:rsid w:val="00222D48"/>
    <w:rsid w:val="00222D68"/>
    <w:rsid w:val="00222EAB"/>
    <w:rsid w:val="00223239"/>
    <w:rsid w:val="0022353B"/>
    <w:rsid w:val="00223683"/>
    <w:rsid w:val="00223757"/>
    <w:rsid w:val="00223983"/>
    <w:rsid w:val="00223CCE"/>
    <w:rsid w:val="00223D26"/>
    <w:rsid w:val="00223D48"/>
    <w:rsid w:val="00224005"/>
    <w:rsid w:val="0022406D"/>
    <w:rsid w:val="00224075"/>
    <w:rsid w:val="002242B5"/>
    <w:rsid w:val="002244F5"/>
    <w:rsid w:val="00224544"/>
    <w:rsid w:val="002245BB"/>
    <w:rsid w:val="002246F8"/>
    <w:rsid w:val="002247E2"/>
    <w:rsid w:val="002249C4"/>
    <w:rsid w:val="00224B3F"/>
    <w:rsid w:val="00224B94"/>
    <w:rsid w:val="00224DF7"/>
    <w:rsid w:val="00224EE1"/>
    <w:rsid w:val="00224FB6"/>
    <w:rsid w:val="00224FBE"/>
    <w:rsid w:val="0022511A"/>
    <w:rsid w:val="002251B8"/>
    <w:rsid w:val="002252AA"/>
    <w:rsid w:val="00225651"/>
    <w:rsid w:val="002256EC"/>
    <w:rsid w:val="0022578D"/>
    <w:rsid w:val="00225912"/>
    <w:rsid w:val="0022594A"/>
    <w:rsid w:val="00225C51"/>
    <w:rsid w:val="00225ED1"/>
    <w:rsid w:val="00226034"/>
    <w:rsid w:val="002260A5"/>
    <w:rsid w:val="00226645"/>
    <w:rsid w:val="0022695F"/>
    <w:rsid w:val="00226963"/>
    <w:rsid w:val="00227019"/>
    <w:rsid w:val="002271A3"/>
    <w:rsid w:val="002271B1"/>
    <w:rsid w:val="00227498"/>
    <w:rsid w:val="002275DF"/>
    <w:rsid w:val="0022771C"/>
    <w:rsid w:val="00227A7E"/>
    <w:rsid w:val="00227E91"/>
    <w:rsid w:val="00227EFC"/>
    <w:rsid w:val="00227F0F"/>
    <w:rsid w:val="00230004"/>
    <w:rsid w:val="0023000E"/>
    <w:rsid w:val="00230130"/>
    <w:rsid w:val="0023016E"/>
    <w:rsid w:val="00230596"/>
    <w:rsid w:val="002305E8"/>
    <w:rsid w:val="00230B21"/>
    <w:rsid w:val="00230E97"/>
    <w:rsid w:val="00230F16"/>
    <w:rsid w:val="002310BB"/>
    <w:rsid w:val="00231109"/>
    <w:rsid w:val="0023116C"/>
    <w:rsid w:val="00231464"/>
    <w:rsid w:val="002314BB"/>
    <w:rsid w:val="002316D2"/>
    <w:rsid w:val="00231B9F"/>
    <w:rsid w:val="0023227A"/>
    <w:rsid w:val="0023248C"/>
    <w:rsid w:val="002324CB"/>
    <w:rsid w:val="002327A7"/>
    <w:rsid w:val="0023286B"/>
    <w:rsid w:val="002328B7"/>
    <w:rsid w:val="00232AD9"/>
    <w:rsid w:val="00232C13"/>
    <w:rsid w:val="00232CAC"/>
    <w:rsid w:val="00232F1A"/>
    <w:rsid w:val="00232F4C"/>
    <w:rsid w:val="00232FDA"/>
    <w:rsid w:val="00233277"/>
    <w:rsid w:val="00233634"/>
    <w:rsid w:val="002336E5"/>
    <w:rsid w:val="002339E3"/>
    <w:rsid w:val="00233B11"/>
    <w:rsid w:val="00233B21"/>
    <w:rsid w:val="00233E43"/>
    <w:rsid w:val="00234009"/>
    <w:rsid w:val="0023419E"/>
    <w:rsid w:val="00234289"/>
    <w:rsid w:val="0023469A"/>
    <w:rsid w:val="00234704"/>
    <w:rsid w:val="002349EF"/>
    <w:rsid w:val="00234CE7"/>
    <w:rsid w:val="00234D50"/>
    <w:rsid w:val="00235099"/>
    <w:rsid w:val="002350AC"/>
    <w:rsid w:val="0023544D"/>
    <w:rsid w:val="00235510"/>
    <w:rsid w:val="002357C4"/>
    <w:rsid w:val="0023584B"/>
    <w:rsid w:val="002359DC"/>
    <w:rsid w:val="00235B6B"/>
    <w:rsid w:val="00235C02"/>
    <w:rsid w:val="00235C49"/>
    <w:rsid w:val="00236148"/>
    <w:rsid w:val="0023623A"/>
    <w:rsid w:val="00236317"/>
    <w:rsid w:val="00236409"/>
    <w:rsid w:val="0023659C"/>
    <w:rsid w:val="00236BB2"/>
    <w:rsid w:val="00236BDF"/>
    <w:rsid w:val="00236CC0"/>
    <w:rsid w:val="00236F45"/>
    <w:rsid w:val="00237164"/>
    <w:rsid w:val="00237208"/>
    <w:rsid w:val="0023730E"/>
    <w:rsid w:val="0023737F"/>
    <w:rsid w:val="00237402"/>
    <w:rsid w:val="00237433"/>
    <w:rsid w:val="0023747C"/>
    <w:rsid w:val="00237494"/>
    <w:rsid w:val="002374E3"/>
    <w:rsid w:val="00237925"/>
    <w:rsid w:val="002379A2"/>
    <w:rsid w:val="00237D1E"/>
    <w:rsid w:val="00237D94"/>
    <w:rsid w:val="00237F1B"/>
    <w:rsid w:val="002403A3"/>
    <w:rsid w:val="0024072C"/>
    <w:rsid w:val="00240A38"/>
    <w:rsid w:val="00240AF8"/>
    <w:rsid w:val="00240C54"/>
    <w:rsid w:val="00241000"/>
    <w:rsid w:val="002410ED"/>
    <w:rsid w:val="00241220"/>
    <w:rsid w:val="002413C9"/>
    <w:rsid w:val="00241432"/>
    <w:rsid w:val="002414D8"/>
    <w:rsid w:val="00241577"/>
    <w:rsid w:val="0024196D"/>
    <w:rsid w:val="00241DD2"/>
    <w:rsid w:val="00241F1B"/>
    <w:rsid w:val="0024225B"/>
    <w:rsid w:val="0024226C"/>
    <w:rsid w:val="002422BD"/>
    <w:rsid w:val="00242322"/>
    <w:rsid w:val="0024266D"/>
    <w:rsid w:val="002427B0"/>
    <w:rsid w:val="002428A6"/>
    <w:rsid w:val="00242B32"/>
    <w:rsid w:val="00242D01"/>
    <w:rsid w:val="00242E79"/>
    <w:rsid w:val="0024310D"/>
    <w:rsid w:val="00243134"/>
    <w:rsid w:val="002433F7"/>
    <w:rsid w:val="00243755"/>
    <w:rsid w:val="0024388B"/>
    <w:rsid w:val="002439A1"/>
    <w:rsid w:val="00243A0B"/>
    <w:rsid w:val="00243E13"/>
    <w:rsid w:val="00243EBD"/>
    <w:rsid w:val="00243F8A"/>
    <w:rsid w:val="002440C2"/>
    <w:rsid w:val="002442DD"/>
    <w:rsid w:val="00244322"/>
    <w:rsid w:val="00244571"/>
    <w:rsid w:val="002446FA"/>
    <w:rsid w:val="0024472C"/>
    <w:rsid w:val="00244AED"/>
    <w:rsid w:val="00244C47"/>
    <w:rsid w:val="00244CB7"/>
    <w:rsid w:val="00244E4B"/>
    <w:rsid w:val="00244F8E"/>
    <w:rsid w:val="0024528A"/>
    <w:rsid w:val="0024530E"/>
    <w:rsid w:val="0024542C"/>
    <w:rsid w:val="00245579"/>
    <w:rsid w:val="00245677"/>
    <w:rsid w:val="00245962"/>
    <w:rsid w:val="00245971"/>
    <w:rsid w:val="00245BB0"/>
    <w:rsid w:val="00245C59"/>
    <w:rsid w:val="00245CB7"/>
    <w:rsid w:val="00245FBC"/>
    <w:rsid w:val="002460ED"/>
    <w:rsid w:val="0024679D"/>
    <w:rsid w:val="002467DE"/>
    <w:rsid w:val="00246897"/>
    <w:rsid w:val="0024697E"/>
    <w:rsid w:val="002469AB"/>
    <w:rsid w:val="00246A26"/>
    <w:rsid w:val="00246AEE"/>
    <w:rsid w:val="00246D02"/>
    <w:rsid w:val="00246F14"/>
    <w:rsid w:val="00246FC7"/>
    <w:rsid w:val="0024709F"/>
    <w:rsid w:val="00247258"/>
    <w:rsid w:val="0024738E"/>
    <w:rsid w:val="002476A5"/>
    <w:rsid w:val="002476D6"/>
    <w:rsid w:val="002477E1"/>
    <w:rsid w:val="00247887"/>
    <w:rsid w:val="00247A24"/>
    <w:rsid w:val="00247AFE"/>
    <w:rsid w:val="00247CE3"/>
    <w:rsid w:val="00247E18"/>
    <w:rsid w:val="00250160"/>
    <w:rsid w:val="002501DC"/>
    <w:rsid w:val="00250214"/>
    <w:rsid w:val="00250289"/>
    <w:rsid w:val="002503F4"/>
    <w:rsid w:val="00250594"/>
    <w:rsid w:val="002505AC"/>
    <w:rsid w:val="00250728"/>
    <w:rsid w:val="00250C6F"/>
    <w:rsid w:val="00250CD1"/>
    <w:rsid w:val="00250E7A"/>
    <w:rsid w:val="002512CD"/>
    <w:rsid w:val="002513D7"/>
    <w:rsid w:val="0025154A"/>
    <w:rsid w:val="00251580"/>
    <w:rsid w:val="0025163C"/>
    <w:rsid w:val="002516AF"/>
    <w:rsid w:val="00251B9B"/>
    <w:rsid w:val="00251CB4"/>
    <w:rsid w:val="00251E1D"/>
    <w:rsid w:val="00252022"/>
    <w:rsid w:val="00252467"/>
    <w:rsid w:val="0025268F"/>
    <w:rsid w:val="002526C7"/>
    <w:rsid w:val="00252CBD"/>
    <w:rsid w:val="00252D05"/>
    <w:rsid w:val="00252EF8"/>
    <w:rsid w:val="00252F3C"/>
    <w:rsid w:val="00252FFD"/>
    <w:rsid w:val="00253080"/>
    <w:rsid w:val="002530EF"/>
    <w:rsid w:val="002533D7"/>
    <w:rsid w:val="002536C0"/>
    <w:rsid w:val="0025371F"/>
    <w:rsid w:val="00253B01"/>
    <w:rsid w:val="00253C71"/>
    <w:rsid w:val="00253D8E"/>
    <w:rsid w:val="00253F2E"/>
    <w:rsid w:val="002540A6"/>
    <w:rsid w:val="002542CE"/>
    <w:rsid w:val="002543F3"/>
    <w:rsid w:val="002544F7"/>
    <w:rsid w:val="002545F7"/>
    <w:rsid w:val="00254709"/>
    <w:rsid w:val="00254917"/>
    <w:rsid w:val="002551B6"/>
    <w:rsid w:val="0025548E"/>
    <w:rsid w:val="00255509"/>
    <w:rsid w:val="0025555A"/>
    <w:rsid w:val="0025571F"/>
    <w:rsid w:val="0025585F"/>
    <w:rsid w:val="002558C8"/>
    <w:rsid w:val="002558FA"/>
    <w:rsid w:val="00255983"/>
    <w:rsid w:val="00255AE8"/>
    <w:rsid w:val="00255B10"/>
    <w:rsid w:val="002561CA"/>
    <w:rsid w:val="00256266"/>
    <w:rsid w:val="002564E4"/>
    <w:rsid w:val="002565CE"/>
    <w:rsid w:val="00256719"/>
    <w:rsid w:val="0025687E"/>
    <w:rsid w:val="00256AC7"/>
    <w:rsid w:val="00256C56"/>
    <w:rsid w:val="00256C72"/>
    <w:rsid w:val="00256DA9"/>
    <w:rsid w:val="002572B9"/>
    <w:rsid w:val="0025768F"/>
    <w:rsid w:val="00257868"/>
    <w:rsid w:val="0025795D"/>
    <w:rsid w:val="00257FE5"/>
    <w:rsid w:val="0026011C"/>
    <w:rsid w:val="00260187"/>
    <w:rsid w:val="00260471"/>
    <w:rsid w:val="002607DD"/>
    <w:rsid w:val="002609F8"/>
    <w:rsid w:val="00260DA4"/>
    <w:rsid w:val="00260F66"/>
    <w:rsid w:val="002611AD"/>
    <w:rsid w:val="002611F9"/>
    <w:rsid w:val="002613D1"/>
    <w:rsid w:val="00261482"/>
    <w:rsid w:val="002616EA"/>
    <w:rsid w:val="00261830"/>
    <w:rsid w:val="00261838"/>
    <w:rsid w:val="00261847"/>
    <w:rsid w:val="0026196E"/>
    <w:rsid w:val="00261A4D"/>
    <w:rsid w:val="00261B34"/>
    <w:rsid w:val="00261BCD"/>
    <w:rsid w:val="00261DD5"/>
    <w:rsid w:val="00261E03"/>
    <w:rsid w:val="00261F79"/>
    <w:rsid w:val="00261FC1"/>
    <w:rsid w:val="0026207D"/>
    <w:rsid w:val="0026249C"/>
    <w:rsid w:val="0026258B"/>
    <w:rsid w:val="002626B6"/>
    <w:rsid w:val="00262723"/>
    <w:rsid w:val="00262967"/>
    <w:rsid w:val="00262B9D"/>
    <w:rsid w:val="00262CE3"/>
    <w:rsid w:val="00262D14"/>
    <w:rsid w:val="00262FD9"/>
    <w:rsid w:val="0026327D"/>
    <w:rsid w:val="00263318"/>
    <w:rsid w:val="00263434"/>
    <w:rsid w:val="00263446"/>
    <w:rsid w:val="002634DD"/>
    <w:rsid w:val="002637B2"/>
    <w:rsid w:val="00263820"/>
    <w:rsid w:val="002638C1"/>
    <w:rsid w:val="00263985"/>
    <w:rsid w:val="00263A99"/>
    <w:rsid w:val="00263C48"/>
    <w:rsid w:val="00264063"/>
    <w:rsid w:val="00264148"/>
    <w:rsid w:val="00264381"/>
    <w:rsid w:val="002643A7"/>
    <w:rsid w:val="002645C7"/>
    <w:rsid w:val="00264801"/>
    <w:rsid w:val="002648FA"/>
    <w:rsid w:val="00264A83"/>
    <w:rsid w:val="00264CD4"/>
    <w:rsid w:val="00264E51"/>
    <w:rsid w:val="00264E6A"/>
    <w:rsid w:val="0026502D"/>
    <w:rsid w:val="002651D7"/>
    <w:rsid w:val="002653A1"/>
    <w:rsid w:val="00265842"/>
    <w:rsid w:val="00265853"/>
    <w:rsid w:val="002659C3"/>
    <w:rsid w:val="00265E5D"/>
    <w:rsid w:val="00266165"/>
    <w:rsid w:val="002661BB"/>
    <w:rsid w:val="002662C2"/>
    <w:rsid w:val="002663A2"/>
    <w:rsid w:val="0026679E"/>
    <w:rsid w:val="00266819"/>
    <w:rsid w:val="00266854"/>
    <w:rsid w:val="002668D3"/>
    <w:rsid w:val="00266951"/>
    <w:rsid w:val="002669CB"/>
    <w:rsid w:val="00266A49"/>
    <w:rsid w:val="00266F9C"/>
    <w:rsid w:val="00267244"/>
    <w:rsid w:val="00267464"/>
    <w:rsid w:val="002674F8"/>
    <w:rsid w:val="00267581"/>
    <w:rsid w:val="002677C0"/>
    <w:rsid w:val="002679E2"/>
    <w:rsid w:val="00267C8F"/>
    <w:rsid w:val="00267D75"/>
    <w:rsid w:val="002700C3"/>
    <w:rsid w:val="00270214"/>
    <w:rsid w:val="002702DA"/>
    <w:rsid w:val="00270AA6"/>
    <w:rsid w:val="00270BA6"/>
    <w:rsid w:val="00270C9E"/>
    <w:rsid w:val="00270DC4"/>
    <w:rsid w:val="00270F1F"/>
    <w:rsid w:val="00271067"/>
    <w:rsid w:val="002710EB"/>
    <w:rsid w:val="002711DD"/>
    <w:rsid w:val="00271318"/>
    <w:rsid w:val="00271356"/>
    <w:rsid w:val="002713DC"/>
    <w:rsid w:val="0027153F"/>
    <w:rsid w:val="00271A9A"/>
    <w:rsid w:val="00271BAF"/>
    <w:rsid w:val="00271CAB"/>
    <w:rsid w:val="00271CDF"/>
    <w:rsid w:val="00271DE2"/>
    <w:rsid w:val="00271F48"/>
    <w:rsid w:val="00272068"/>
    <w:rsid w:val="00272276"/>
    <w:rsid w:val="0027257F"/>
    <w:rsid w:val="0027263D"/>
    <w:rsid w:val="002727C2"/>
    <w:rsid w:val="002731B8"/>
    <w:rsid w:val="002731EA"/>
    <w:rsid w:val="00273484"/>
    <w:rsid w:val="00273559"/>
    <w:rsid w:val="002735CA"/>
    <w:rsid w:val="002735D1"/>
    <w:rsid w:val="00273753"/>
    <w:rsid w:val="00273972"/>
    <w:rsid w:val="0027398E"/>
    <w:rsid w:val="002739AC"/>
    <w:rsid w:val="00273D95"/>
    <w:rsid w:val="00273E98"/>
    <w:rsid w:val="002741A1"/>
    <w:rsid w:val="002742E9"/>
    <w:rsid w:val="00274452"/>
    <w:rsid w:val="002749E0"/>
    <w:rsid w:val="00275593"/>
    <w:rsid w:val="00275751"/>
    <w:rsid w:val="00275A79"/>
    <w:rsid w:val="00275B81"/>
    <w:rsid w:val="00275E08"/>
    <w:rsid w:val="00275F99"/>
    <w:rsid w:val="00275FBF"/>
    <w:rsid w:val="002760D5"/>
    <w:rsid w:val="002761DF"/>
    <w:rsid w:val="0027631A"/>
    <w:rsid w:val="00276447"/>
    <w:rsid w:val="0027651F"/>
    <w:rsid w:val="002765C3"/>
    <w:rsid w:val="002765C7"/>
    <w:rsid w:val="0027693D"/>
    <w:rsid w:val="0027697C"/>
    <w:rsid w:val="00276982"/>
    <w:rsid w:val="00276AD3"/>
    <w:rsid w:val="00276ADE"/>
    <w:rsid w:val="00276FA8"/>
    <w:rsid w:val="002772C9"/>
    <w:rsid w:val="0027745D"/>
    <w:rsid w:val="00277A31"/>
    <w:rsid w:val="00277C1F"/>
    <w:rsid w:val="00277DF4"/>
    <w:rsid w:val="0028012A"/>
    <w:rsid w:val="002804BB"/>
    <w:rsid w:val="002804FA"/>
    <w:rsid w:val="0028053E"/>
    <w:rsid w:val="002805C0"/>
    <w:rsid w:val="00280649"/>
    <w:rsid w:val="0028067F"/>
    <w:rsid w:val="00280A64"/>
    <w:rsid w:val="00280B95"/>
    <w:rsid w:val="00280BA5"/>
    <w:rsid w:val="00280FF1"/>
    <w:rsid w:val="00281133"/>
    <w:rsid w:val="002811C2"/>
    <w:rsid w:val="00281236"/>
    <w:rsid w:val="0028145E"/>
    <w:rsid w:val="00281653"/>
    <w:rsid w:val="00281663"/>
    <w:rsid w:val="002817FE"/>
    <w:rsid w:val="002819AA"/>
    <w:rsid w:val="002819DE"/>
    <w:rsid w:val="00281A6C"/>
    <w:rsid w:val="00282014"/>
    <w:rsid w:val="002820C8"/>
    <w:rsid w:val="002820CF"/>
    <w:rsid w:val="00282125"/>
    <w:rsid w:val="00282201"/>
    <w:rsid w:val="002823A7"/>
    <w:rsid w:val="0028246E"/>
    <w:rsid w:val="00282631"/>
    <w:rsid w:val="00282A6C"/>
    <w:rsid w:val="00282CF8"/>
    <w:rsid w:val="00282DC4"/>
    <w:rsid w:val="0028378E"/>
    <w:rsid w:val="002838E1"/>
    <w:rsid w:val="00283C91"/>
    <w:rsid w:val="00283E53"/>
    <w:rsid w:val="00283F4A"/>
    <w:rsid w:val="00284067"/>
    <w:rsid w:val="002841BB"/>
    <w:rsid w:val="00284295"/>
    <w:rsid w:val="002845ED"/>
    <w:rsid w:val="00284813"/>
    <w:rsid w:val="002849E5"/>
    <w:rsid w:val="00284A37"/>
    <w:rsid w:val="00284AE5"/>
    <w:rsid w:val="00284EA0"/>
    <w:rsid w:val="002855D3"/>
    <w:rsid w:val="0028574F"/>
    <w:rsid w:val="00285876"/>
    <w:rsid w:val="00286024"/>
    <w:rsid w:val="00286596"/>
    <w:rsid w:val="0028678E"/>
    <w:rsid w:val="00286BC7"/>
    <w:rsid w:val="00286BC9"/>
    <w:rsid w:val="00286C03"/>
    <w:rsid w:val="00286CB2"/>
    <w:rsid w:val="00286DE2"/>
    <w:rsid w:val="00286E41"/>
    <w:rsid w:val="00286E8D"/>
    <w:rsid w:val="00286F4F"/>
    <w:rsid w:val="0028700A"/>
    <w:rsid w:val="002871DF"/>
    <w:rsid w:val="00287697"/>
    <w:rsid w:val="0028790B"/>
    <w:rsid w:val="00287A0E"/>
    <w:rsid w:val="00287B29"/>
    <w:rsid w:val="00287BD2"/>
    <w:rsid w:val="00287EB6"/>
    <w:rsid w:val="002901C0"/>
    <w:rsid w:val="00290203"/>
    <w:rsid w:val="00290678"/>
    <w:rsid w:val="002908C7"/>
    <w:rsid w:val="00290998"/>
    <w:rsid w:val="00290B62"/>
    <w:rsid w:val="00290DBA"/>
    <w:rsid w:val="00290DED"/>
    <w:rsid w:val="00290E2F"/>
    <w:rsid w:val="00290E91"/>
    <w:rsid w:val="00290EEB"/>
    <w:rsid w:val="00290EF1"/>
    <w:rsid w:val="0029140E"/>
    <w:rsid w:val="00291793"/>
    <w:rsid w:val="002919FF"/>
    <w:rsid w:val="00291A80"/>
    <w:rsid w:val="00291B17"/>
    <w:rsid w:val="00291D37"/>
    <w:rsid w:val="00292089"/>
    <w:rsid w:val="002920CB"/>
    <w:rsid w:val="002921E3"/>
    <w:rsid w:val="002924CA"/>
    <w:rsid w:val="002924F9"/>
    <w:rsid w:val="002926C3"/>
    <w:rsid w:val="002929DC"/>
    <w:rsid w:val="00292A0E"/>
    <w:rsid w:val="00292BF2"/>
    <w:rsid w:val="00292EB9"/>
    <w:rsid w:val="00292F7E"/>
    <w:rsid w:val="00292F81"/>
    <w:rsid w:val="00293534"/>
    <w:rsid w:val="00293576"/>
    <w:rsid w:val="00293736"/>
    <w:rsid w:val="002939E1"/>
    <w:rsid w:val="00293EC6"/>
    <w:rsid w:val="0029402F"/>
    <w:rsid w:val="0029406D"/>
    <w:rsid w:val="002940CE"/>
    <w:rsid w:val="0029422F"/>
    <w:rsid w:val="00294480"/>
    <w:rsid w:val="00294AC8"/>
    <w:rsid w:val="00294BB1"/>
    <w:rsid w:val="00294C00"/>
    <w:rsid w:val="00294D5B"/>
    <w:rsid w:val="00294EE3"/>
    <w:rsid w:val="00294F1F"/>
    <w:rsid w:val="0029515B"/>
    <w:rsid w:val="00295170"/>
    <w:rsid w:val="00295198"/>
    <w:rsid w:val="0029522D"/>
    <w:rsid w:val="002954E8"/>
    <w:rsid w:val="00295A02"/>
    <w:rsid w:val="00295A86"/>
    <w:rsid w:val="00295CBB"/>
    <w:rsid w:val="00295DA1"/>
    <w:rsid w:val="00295E40"/>
    <w:rsid w:val="0029601A"/>
    <w:rsid w:val="002962F0"/>
    <w:rsid w:val="002964A1"/>
    <w:rsid w:val="002967FC"/>
    <w:rsid w:val="00296B25"/>
    <w:rsid w:val="00296BCD"/>
    <w:rsid w:val="00296ED9"/>
    <w:rsid w:val="002970DD"/>
    <w:rsid w:val="00297167"/>
    <w:rsid w:val="002971A6"/>
    <w:rsid w:val="00297846"/>
    <w:rsid w:val="00297AB0"/>
    <w:rsid w:val="00297B64"/>
    <w:rsid w:val="00297C78"/>
    <w:rsid w:val="00297FCA"/>
    <w:rsid w:val="002A001B"/>
    <w:rsid w:val="002A00C4"/>
    <w:rsid w:val="002A02DD"/>
    <w:rsid w:val="002A04C8"/>
    <w:rsid w:val="002A0739"/>
    <w:rsid w:val="002A076C"/>
    <w:rsid w:val="002A0DA1"/>
    <w:rsid w:val="002A0E3E"/>
    <w:rsid w:val="002A1253"/>
    <w:rsid w:val="002A142E"/>
    <w:rsid w:val="002A16BD"/>
    <w:rsid w:val="002A1BD2"/>
    <w:rsid w:val="002A1C8F"/>
    <w:rsid w:val="002A1CF2"/>
    <w:rsid w:val="002A1D73"/>
    <w:rsid w:val="002A1DEF"/>
    <w:rsid w:val="002A1E14"/>
    <w:rsid w:val="002A2062"/>
    <w:rsid w:val="002A21A8"/>
    <w:rsid w:val="002A2309"/>
    <w:rsid w:val="002A2408"/>
    <w:rsid w:val="002A250B"/>
    <w:rsid w:val="002A26B4"/>
    <w:rsid w:val="002A26B7"/>
    <w:rsid w:val="002A2CAE"/>
    <w:rsid w:val="002A2EA4"/>
    <w:rsid w:val="002A2FFB"/>
    <w:rsid w:val="002A3051"/>
    <w:rsid w:val="002A3231"/>
    <w:rsid w:val="002A3514"/>
    <w:rsid w:val="002A3518"/>
    <w:rsid w:val="002A392B"/>
    <w:rsid w:val="002A3E18"/>
    <w:rsid w:val="002A3F40"/>
    <w:rsid w:val="002A4013"/>
    <w:rsid w:val="002A4057"/>
    <w:rsid w:val="002A4082"/>
    <w:rsid w:val="002A421C"/>
    <w:rsid w:val="002A4319"/>
    <w:rsid w:val="002A442E"/>
    <w:rsid w:val="002A4574"/>
    <w:rsid w:val="002A47F3"/>
    <w:rsid w:val="002A4907"/>
    <w:rsid w:val="002A4920"/>
    <w:rsid w:val="002A49CF"/>
    <w:rsid w:val="002A4A74"/>
    <w:rsid w:val="002A4AEF"/>
    <w:rsid w:val="002A4B4F"/>
    <w:rsid w:val="002A4E61"/>
    <w:rsid w:val="002A4EEC"/>
    <w:rsid w:val="002A4F1D"/>
    <w:rsid w:val="002A5169"/>
    <w:rsid w:val="002A5362"/>
    <w:rsid w:val="002A5375"/>
    <w:rsid w:val="002A56EB"/>
    <w:rsid w:val="002A5852"/>
    <w:rsid w:val="002A5972"/>
    <w:rsid w:val="002A5A49"/>
    <w:rsid w:val="002A5CDF"/>
    <w:rsid w:val="002A5D93"/>
    <w:rsid w:val="002A61E6"/>
    <w:rsid w:val="002A65D7"/>
    <w:rsid w:val="002A6871"/>
    <w:rsid w:val="002A695C"/>
    <w:rsid w:val="002A6C2D"/>
    <w:rsid w:val="002A7002"/>
    <w:rsid w:val="002A7037"/>
    <w:rsid w:val="002A71AD"/>
    <w:rsid w:val="002A7446"/>
    <w:rsid w:val="002A781F"/>
    <w:rsid w:val="002A7B33"/>
    <w:rsid w:val="002A7C98"/>
    <w:rsid w:val="002A7D50"/>
    <w:rsid w:val="002B0005"/>
    <w:rsid w:val="002B0143"/>
    <w:rsid w:val="002B0204"/>
    <w:rsid w:val="002B0575"/>
    <w:rsid w:val="002B05D8"/>
    <w:rsid w:val="002B08B9"/>
    <w:rsid w:val="002B092C"/>
    <w:rsid w:val="002B09C2"/>
    <w:rsid w:val="002B0D3B"/>
    <w:rsid w:val="002B0DC2"/>
    <w:rsid w:val="002B0DDB"/>
    <w:rsid w:val="002B10C9"/>
    <w:rsid w:val="002B111D"/>
    <w:rsid w:val="002B16B2"/>
    <w:rsid w:val="002B16CE"/>
    <w:rsid w:val="002B1902"/>
    <w:rsid w:val="002B1A65"/>
    <w:rsid w:val="002B1AF7"/>
    <w:rsid w:val="002B1C9F"/>
    <w:rsid w:val="002B1DC1"/>
    <w:rsid w:val="002B2191"/>
    <w:rsid w:val="002B22C2"/>
    <w:rsid w:val="002B24AD"/>
    <w:rsid w:val="002B2629"/>
    <w:rsid w:val="002B26CD"/>
    <w:rsid w:val="002B275B"/>
    <w:rsid w:val="002B2E17"/>
    <w:rsid w:val="002B2E40"/>
    <w:rsid w:val="002B2F98"/>
    <w:rsid w:val="002B302F"/>
    <w:rsid w:val="002B3073"/>
    <w:rsid w:val="002B32DD"/>
    <w:rsid w:val="002B331C"/>
    <w:rsid w:val="002B376B"/>
    <w:rsid w:val="002B37AB"/>
    <w:rsid w:val="002B3903"/>
    <w:rsid w:val="002B3A7B"/>
    <w:rsid w:val="002B3B9A"/>
    <w:rsid w:val="002B3BB2"/>
    <w:rsid w:val="002B3C91"/>
    <w:rsid w:val="002B3DAC"/>
    <w:rsid w:val="002B3E23"/>
    <w:rsid w:val="002B3EA8"/>
    <w:rsid w:val="002B42EC"/>
    <w:rsid w:val="002B43C4"/>
    <w:rsid w:val="002B47FE"/>
    <w:rsid w:val="002B4934"/>
    <w:rsid w:val="002B4DD0"/>
    <w:rsid w:val="002B5424"/>
    <w:rsid w:val="002B5610"/>
    <w:rsid w:val="002B563F"/>
    <w:rsid w:val="002B56DF"/>
    <w:rsid w:val="002B5859"/>
    <w:rsid w:val="002B5A68"/>
    <w:rsid w:val="002B5A7B"/>
    <w:rsid w:val="002B5B14"/>
    <w:rsid w:val="002B5CE8"/>
    <w:rsid w:val="002B5EC4"/>
    <w:rsid w:val="002B5F06"/>
    <w:rsid w:val="002B622A"/>
    <w:rsid w:val="002B628C"/>
    <w:rsid w:val="002B64AB"/>
    <w:rsid w:val="002B6990"/>
    <w:rsid w:val="002B69F2"/>
    <w:rsid w:val="002B6AF8"/>
    <w:rsid w:val="002B6C98"/>
    <w:rsid w:val="002B70B9"/>
    <w:rsid w:val="002B79F1"/>
    <w:rsid w:val="002B7B8F"/>
    <w:rsid w:val="002B7D39"/>
    <w:rsid w:val="002B7EDB"/>
    <w:rsid w:val="002B7F06"/>
    <w:rsid w:val="002B7F16"/>
    <w:rsid w:val="002B7F2E"/>
    <w:rsid w:val="002C0345"/>
    <w:rsid w:val="002C0404"/>
    <w:rsid w:val="002C048B"/>
    <w:rsid w:val="002C0A8D"/>
    <w:rsid w:val="002C0F98"/>
    <w:rsid w:val="002C1030"/>
    <w:rsid w:val="002C1148"/>
    <w:rsid w:val="002C1261"/>
    <w:rsid w:val="002C18D3"/>
    <w:rsid w:val="002C1C18"/>
    <w:rsid w:val="002C1F04"/>
    <w:rsid w:val="002C2097"/>
    <w:rsid w:val="002C235C"/>
    <w:rsid w:val="002C2389"/>
    <w:rsid w:val="002C2410"/>
    <w:rsid w:val="002C2EEC"/>
    <w:rsid w:val="002C306B"/>
    <w:rsid w:val="002C30B3"/>
    <w:rsid w:val="002C3248"/>
    <w:rsid w:val="002C324A"/>
    <w:rsid w:val="002C3305"/>
    <w:rsid w:val="002C3441"/>
    <w:rsid w:val="002C34AB"/>
    <w:rsid w:val="002C3618"/>
    <w:rsid w:val="002C3633"/>
    <w:rsid w:val="002C36DB"/>
    <w:rsid w:val="002C385F"/>
    <w:rsid w:val="002C387C"/>
    <w:rsid w:val="002C3922"/>
    <w:rsid w:val="002C3958"/>
    <w:rsid w:val="002C3A74"/>
    <w:rsid w:val="002C3C66"/>
    <w:rsid w:val="002C3D1C"/>
    <w:rsid w:val="002C477B"/>
    <w:rsid w:val="002C4AA0"/>
    <w:rsid w:val="002C4ADD"/>
    <w:rsid w:val="002C4BAF"/>
    <w:rsid w:val="002C4C48"/>
    <w:rsid w:val="002C502B"/>
    <w:rsid w:val="002C5305"/>
    <w:rsid w:val="002C5402"/>
    <w:rsid w:val="002C54D8"/>
    <w:rsid w:val="002C57C5"/>
    <w:rsid w:val="002C5911"/>
    <w:rsid w:val="002C597C"/>
    <w:rsid w:val="002C5A37"/>
    <w:rsid w:val="002C5C70"/>
    <w:rsid w:val="002C5CB2"/>
    <w:rsid w:val="002C5F63"/>
    <w:rsid w:val="002C6208"/>
    <w:rsid w:val="002C62A6"/>
    <w:rsid w:val="002C642A"/>
    <w:rsid w:val="002C689D"/>
    <w:rsid w:val="002C699B"/>
    <w:rsid w:val="002C6A95"/>
    <w:rsid w:val="002C6D7C"/>
    <w:rsid w:val="002C7198"/>
    <w:rsid w:val="002C73BE"/>
    <w:rsid w:val="002C751A"/>
    <w:rsid w:val="002C76B9"/>
    <w:rsid w:val="002C78FE"/>
    <w:rsid w:val="002C7AB2"/>
    <w:rsid w:val="002C7C19"/>
    <w:rsid w:val="002C7D5D"/>
    <w:rsid w:val="002D0310"/>
    <w:rsid w:val="002D0819"/>
    <w:rsid w:val="002D0977"/>
    <w:rsid w:val="002D0AAE"/>
    <w:rsid w:val="002D0B25"/>
    <w:rsid w:val="002D0BDA"/>
    <w:rsid w:val="002D0C3C"/>
    <w:rsid w:val="002D0CE3"/>
    <w:rsid w:val="002D0E72"/>
    <w:rsid w:val="002D0FE5"/>
    <w:rsid w:val="002D10AD"/>
    <w:rsid w:val="002D1202"/>
    <w:rsid w:val="002D13C3"/>
    <w:rsid w:val="002D1540"/>
    <w:rsid w:val="002D1609"/>
    <w:rsid w:val="002D171E"/>
    <w:rsid w:val="002D17B6"/>
    <w:rsid w:val="002D1813"/>
    <w:rsid w:val="002D1906"/>
    <w:rsid w:val="002D1937"/>
    <w:rsid w:val="002D1A58"/>
    <w:rsid w:val="002D209B"/>
    <w:rsid w:val="002D2189"/>
    <w:rsid w:val="002D21B0"/>
    <w:rsid w:val="002D2252"/>
    <w:rsid w:val="002D228A"/>
    <w:rsid w:val="002D2337"/>
    <w:rsid w:val="002D23C5"/>
    <w:rsid w:val="002D2470"/>
    <w:rsid w:val="002D25CC"/>
    <w:rsid w:val="002D285C"/>
    <w:rsid w:val="002D2A5C"/>
    <w:rsid w:val="002D2AD3"/>
    <w:rsid w:val="002D2C89"/>
    <w:rsid w:val="002D2D8D"/>
    <w:rsid w:val="002D2DAE"/>
    <w:rsid w:val="002D2DB2"/>
    <w:rsid w:val="002D3356"/>
    <w:rsid w:val="002D35B2"/>
    <w:rsid w:val="002D392E"/>
    <w:rsid w:val="002D3D2C"/>
    <w:rsid w:val="002D4155"/>
    <w:rsid w:val="002D43E6"/>
    <w:rsid w:val="002D440B"/>
    <w:rsid w:val="002D46D5"/>
    <w:rsid w:val="002D4AB6"/>
    <w:rsid w:val="002D4E2F"/>
    <w:rsid w:val="002D4F4D"/>
    <w:rsid w:val="002D5094"/>
    <w:rsid w:val="002D518C"/>
    <w:rsid w:val="002D54CD"/>
    <w:rsid w:val="002D563B"/>
    <w:rsid w:val="002D58D5"/>
    <w:rsid w:val="002D5BF6"/>
    <w:rsid w:val="002D5CF9"/>
    <w:rsid w:val="002D5DEB"/>
    <w:rsid w:val="002D5EE9"/>
    <w:rsid w:val="002D5F1C"/>
    <w:rsid w:val="002D6018"/>
    <w:rsid w:val="002D6096"/>
    <w:rsid w:val="002D64BC"/>
    <w:rsid w:val="002D6587"/>
    <w:rsid w:val="002D6617"/>
    <w:rsid w:val="002D6673"/>
    <w:rsid w:val="002D667F"/>
    <w:rsid w:val="002D680C"/>
    <w:rsid w:val="002D69B0"/>
    <w:rsid w:val="002D6E3A"/>
    <w:rsid w:val="002D6FC6"/>
    <w:rsid w:val="002D7200"/>
    <w:rsid w:val="002D7251"/>
    <w:rsid w:val="002D73E3"/>
    <w:rsid w:val="002D793C"/>
    <w:rsid w:val="002D7BD2"/>
    <w:rsid w:val="002D7C40"/>
    <w:rsid w:val="002D7C9C"/>
    <w:rsid w:val="002D7CDA"/>
    <w:rsid w:val="002D7FA6"/>
    <w:rsid w:val="002E018B"/>
    <w:rsid w:val="002E0B78"/>
    <w:rsid w:val="002E1268"/>
    <w:rsid w:val="002E132D"/>
    <w:rsid w:val="002E1385"/>
    <w:rsid w:val="002E1632"/>
    <w:rsid w:val="002E16BA"/>
    <w:rsid w:val="002E16D1"/>
    <w:rsid w:val="002E1A69"/>
    <w:rsid w:val="002E1C85"/>
    <w:rsid w:val="002E1F38"/>
    <w:rsid w:val="002E263F"/>
    <w:rsid w:val="002E2720"/>
    <w:rsid w:val="002E2861"/>
    <w:rsid w:val="002E2B63"/>
    <w:rsid w:val="002E2C73"/>
    <w:rsid w:val="002E2E83"/>
    <w:rsid w:val="002E2EA0"/>
    <w:rsid w:val="002E2F52"/>
    <w:rsid w:val="002E3027"/>
    <w:rsid w:val="002E30ED"/>
    <w:rsid w:val="002E3112"/>
    <w:rsid w:val="002E3747"/>
    <w:rsid w:val="002E3CA4"/>
    <w:rsid w:val="002E3D6B"/>
    <w:rsid w:val="002E47BA"/>
    <w:rsid w:val="002E48C0"/>
    <w:rsid w:val="002E49B1"/>
    <w:rsid w:val="002E4A88"/>
    <w:rsid w:val="002E4AAA"/>
    <w:rsid w:val="002E4BCD"/>
    <w:rsid w:val="002E4C17"/>
    <w:rsid w:val="002E4D57"/>
    <w:rsid w:val="002E52A1"/>
    <w:rsid w:val="002E5577"/>
    <w:rsid w:val="002E5813"/>
    <w:rsid w:val="002E5B2E"/>
    <w:rsid w:val="002E5C52"/>
    <w:rsid w:val="002E5C68"/>
    <w:rsid w:val="002E5EF9"/>
    <w:rsid w:val="002E6164"/>
    <w:rsid w:val="002E65CB"/>
    <w:rsid w:val="002E667C"/>
    <w:rsid w:val="002E66C4"/>
    <w:rsid w:val="002E6831"/>
    <w:rsid w:val="002E69D4"/>
    <w:rsid w:val="002E6AAE"/>
    <w:rsid w:val="002E6CAE"/>
    <w:rsid w:val="002E6D24"/>
    <w:rsid w:val="002E7387"/>
    <w:rsid w:val="002E754A"/>
    <w:rsid w:val="002E7D3C"/>
    <w:rsid w:val="002E7DD3"/>
    <w:rsid w:val="002E7EB6"/>
    <w:rsid w:val="002F02E7"/>
    <w:rsid w:val="002F0397"/>
    <w:rsid w:val="002F05ED"/>
    <w:rsid w:val="002F0895"/>
    <w:rsid w:val="002F0951"/>
    <w:rsid w:val="002F0B85"/>
    <w:rsid w:val="002F0C1C"/>
    <w:rsid w:val="002F0CC8"/>
    <w:rsid w:val="002F0D48"/>
    <w:rsid w:val="002F106A"/>
    <w:rsid w:val="002F12D2"/>
    <w:rsid w:val="002F173F"/>
    <w:rsid w:val="002F1CC7"/>
    <w:rsid w:val="002F1E50"/>
    <w:rsid w:val="002F202A"/>
    <w:rsid w:val="002F20B2"/>
    <w:rsid w:val="002F2360"/>
    <w:rsid w:val="002F23A6"/>
    <w:rsid w:val="002F25EA"/>
    <w:rsid w:val="002F26EE"/>
    <w:rsid w:val="002F2A0F"/>
    <w:rsid w:val="002F2D80"/>
    <w:rsid w:val="002F2D92"/>
    <w:rsid w:val="002F2F2D"/>
    <w:rsid w:val="002F3204"/>
    <w:rsid w:val="002F32A8"/>
    <w:rsid w:val="002F32B0"/>
    <w:rsid w:val="002F34B6"/>
    <w:rsid w:val="002F387F"/>
    <w:rsid w:val="002F390B"/>
    <w:rsid w:val="002F3B8D"/>
    <w:rsid w:val="002F3CC5"/>
    <w:rsid w:val="002F3DF7"/>
    <w:rsid w:val="002F4031"/>
    <w:rsid w:val="002F4232"/>
    <w:rsid w:val="002F42B2"/>
    <w:rsid w:val="002F42D6"/>
    <w:rsid w:val="002F44FB"/>
    <w:rsid w:val="002F45F6"/>
    <w:rsid w:val="002F479A"/>
    <w:rsid w:val="002F4AC7"/>
    <w:rsid w:val="002F4DFD"/>
    <w:rsid w:val="002F4FD9"/>
    <w:rsid w:val="002F5099"/>
    <w:rsid w:val="002F50E7"/>
    <w:rsid w:val="002F5794"/>
    <w:rsid w:val="002F5969"/>
    <w:rsid w:val="002F5B03"/>
    <w:rsid w:val="002F5DDD"/>
    <w:rsid w:val="002F5E64"/>
    <w:rsid w:val="002F5E89"/>
    <w:rsid w:val="002F5FB9"/>
    <w:rsid w:val="002F6028"/>
    <w:rsid w:val="002F60EA"/>
    <w:rsid w:val="002F65B5"/>
    <w:rsid w:val="002F675B"/>
    <w:rsid w:val="002F6BFE"/>
    <w:rsid w:val="002F6D76"/>
    <w:rsid w:val="002F6E9C"/>
    <w:rsid w:val="002F7136"/>
    <w:rsid w:val="002F73FB"/>
    <w:rsid w:val="002F75BB"/>
    <w:rsid w:val="002F770E"/>
    <w:rsid w:val="002F7820"/>
    <w:rsid w:val="002F794C"/>
    <w:rsid w:val="002F7ACF"/>
    <w:rsid w:val="002F7DC1"/>
    <w:rsid w:val="002F7F9A"/>
    <w:rsid w:val="002F7FB4"/>
    <w:rsid w:val="003000BE"/>
    <w:rsid w:val="00300280"/>
    <w:rsid w:val="003002F9"/>
    <w:rsid w:val="0030045A"/>
    <w:rsid w:val="00300724"/>
    <w:rsid w:val="00300C07"/>
    <w:rsid w:val="0030142D"/>
    <w:rsid w:val="0030151B"/>
    <w:rsid w:val="00301568"/>
    <w:rsid w:val="00301842"/>
    <w:rsid w:val="0030185B"/>
    <w:rsid w:val="0030194E"/>
    <w:rsid w:val="00301987"/>
    <w:rsid w:val="00301A71"/>
    <w:rsid w:val="00301F60"/>
    <w:rsid w:val="00301FFE"/>
    <w:rsid w:val="0030205F"/>
    <w:rsid w:val="00302399"/>
    <w:rsid w:val="003026FE"/>
    <w:rsid w:val="003027FE"/>
    <w:rsid w:val="00302826"/>
    <w:rsid w:val="00302863"/>
    <w:rsid w:val="003028B1"/>
    <w:rsid w:val="00302AA9"/>
    <w:rsid w:val="00302D1C"/>
    <w:rsid w:val="00302DEA"/>
    <w:rsid w:val="00303086"/>
    <w:rsid w:val="003031CC"/>
    <w:rsid w:val="00303375"/>
    <w:rsid w:val="003034C5"/>
    <w:rsid w:val="00303636"/>
    <w:rsid w:val="00303754"/>
    <w:rsid w:val="003037A2"/>
    <w:rsid w:val="003039E9"/>
    <w:rsid w:val="00303B08"/>
    <w:rsid w:val="00303B78"/>
    <w:rsid w:val="003041D9"/>
    <w:rsid w:val="00304203"/>
    <w:rsid w:val="003042C4"/>
    <w:rsid w:val="00304888"/>
    <w:rsid w:val="00304CE4"/>
    <w:rsid w:val="00304E88"/>
    <w:rsid w:val="00304F0C"/>
    <w:rsid w:val="00305090"/>
    <w:rsid w:val="00305164"/>
    <w:rsid w:val="0030519A"/>
    <w:rsid w:val="00305B04"/>
    <w:rsid w:val="00305FF1"/>
    <w:rsid w:val="00306022"/>
    <w:rsid w:val="0030635D"/>
    <w:rsid w:val="0030638B"/>
    <w:rsid w:val="003064C2"/>
    <w:rsid w:val="003064D8"/>
    <w:rsid w:val="003067D4"/>
    <w:rsid w:val="0030685A"/>
    <w:rsid w:val="003069E3"/>
    <w:rsid w:val="00306A68"/>
    <w:rsid w:val="00306B71"/>
    <w:rsid w:val="00306E1C"/>
    <w:rsid w:val="00306F07"/>
    <w:rsid w:val="00307310"/>
    <w:rsid w:val="003073DB"/>
    <w:rsid w:val="00307451"/>
    <w:rsid w:val="003076AA"/>
    <w:rsid w:val="0030773D"/>
    <w:rsid w:val="003077B7"/>
    <w:rsid w:val="00307E54"/>
    <w:rsid w:val="00307F88"/>
    <w:rsid w:val="00310442"/>
    <w:rsid w:val="003106A2"/>
    <w:rsid w:val="00310792"/>
    <w:rsid w:val="00310927"/>
    <w:rsid w:val="003109AD"/>
    <w:rsid w:val="003109C5"/>
    <w:rsid w:val="00310B30"/>
    <w:rsid w:val="00310C34"/>
    <w:rsid w:val="00310DAB"/>
    <w:rsid w:val="00310E7C"/>
    <w:rsid w:val="00310E87"/>
    <w:rsid w:val="0031112F"/>
    <w:rsid w:val="003111D3"/>
    <w:rsid w:val="0031133A"/>
    <w:rsid w:val="00311359"/>
    <w:rsid w:val="00311572"/>
    <w:rsid w:val="00311882"/>
    <w:rsid w:val="003119DE"/>
    <w:rsid w:val="00311AB5"/>
    <w:rsid w:val="00311B47"/>
    <w:rsid w:val="00311B63"/>
    <w:rsid w:val="00311CE3"/>
    <w:rsid w:val="00311D15"/>
    <w:rsid w:val="00311E4C"/>
    <w:rsid w:val="00311EF7"/>
    <w:rsid w:val="00312014"/>
    <w:rsid w:val="003120C5"/>
    <w:rsid w:val="00312150"/>
    <w:rsid w:val="003121C8"/>
    <w:rsid w:val="003123EE"/>
    <w:rsid w:val="00312457"/>
    <w:rsid w:val="003124AB"/>
    <w:rsid w:val="0031256F"/>
    <w:rsid w:val="003125F0"/>
    <w:rsid w:val="0031269A"/>
    <w:rsid w:val="00312809"/>
    <w:rsid w:val="003129E8"/>
    <w:rsid w:val="00312AC4"/>
    <w:rsid w:val="00312B76"/>
    <w:rsid w:val="00312DDD"/>
    <w:rsid w:val="00312EAE"/>
    <w:rsid w:val="0031346A"/>
    <w:rsid w:val="003134D4"/>
    <w:rsid w:val="003135D9"/>
    <w:rsid w:val="00313600"/>
    <w:rsid w:val="00313D4A"/>
    <w:rsid w:val="0031408E"/>
    <w:rsid w:val="003140A6"/>
    <w:rsid w:val="00314197"/>
    <w:rsid w:val="00314364"/>
    <w:rsid w:val="00314449"/>
    <w:rsid w:val="003145B3"/>
    <w:rsid w:val="00314682"/>
    <w:rsid w:val="00314728"/>
    <w:rsid w:val="00314784"/>
    <w:rsid w:val="00314969"/>
    <w:rsid w:val="00314A0A"/>
    <w:rsid w:val="00314A43"/>
    <w:rsid w:val="00314B8A"/>
    <w:rsid w:val="00314D31"/>
    <w:rsid w:val="00314D37"/>
    <w:rsid w:val="00314D49"/>
    <w:rsid w:val="00314EDF"/>
    <w:rsid w:val="003150F6"/>
    <w:rsid w:val="00315150"/>
    <w:rsid w:val="0031520E"/>
    <w:rsid w:val="003153BD"/>
    <w:rsid w:val="00315469"/>
    <w:rsid w:val="003154D9"/>
    <w:rsid w:val="003154F5"/>
    <w:rsid w:val="00315723"/>
    <w:rsid w:val="00315778"/>
    <w:rsid w:val="00315869"/>
    <w:rsid w:val="003159E9"/>
    <w:rsid w:val="00315E7F"/>
    <w:rsid w:val="00315E9A"/>
    <w:rsid w:val="00315FE2"/>
    <w:rsid w:val="00316379"/>
    <w:rsid w:val="003164AD"/>
    <w:rsid w:val="00316D55"/>
    <w:rsid w:val="003170E2"/>
    <w:rsid w:val="003171BC"/>
    <w:rsid w:val="00317366"/>
    <w:rsid w:val="00317570"/>
    <w:rsid w:val="003176E1"/>
    <w:rsid w:val="003176E9"/>
    <w:rsid w:val="003177CC"/>
    <w:rsid w:val="003177F5"/>
    <w:rsid w:val="00317B5B"/>
    <w:rsid w:val="00317C9E"/>
    <w:rsid w:val="00317FA4"/>
    <w:rsid w:val="0032026F"/>
    <w:rsid w:val="0032040F"/>
    <w:rsid w:val="00320C89"/>
    <w:rsid w:val="00320F79"/>
    <w:rsid w:val="0032145A"/>
    <w:rsid w:val="00321473"/>
    <w:rsid w:val="00321761"/>
    <w:rsid w:val="003217B3"/>
    <w:rsid w:val="003218CB"/>
    <w:rsid w:val="003218D3"/>
    <w:rsid w:val="0032191F"/>
    <w:rsid w:val="0032196C"/>
    <w:rsid w:val="00321AAC"/>
    <w:rsid w:val="00321DD3"/>
    <w:rsid w:val="00321F53"/>
    <w:rsid w:val="00322182"/>
    <w:rsid w:val="003225A3"/>
    <w:rsid w:val="00322AE3"/>
    <w:rsid w:val="00322B1E"/>
    <w:rsid w:val="00322C1B"/>
    <w:rsid w:val="00322DC5"/>
    <w:rsid w:val="00322F51"/>
    <w:rsid w:val="0032305C"/>
    <w:rsid w:val="003230F8"/>
    <w:rsid w:val="00323814"/>
    <w:rsid w:val="00323B58"/>
    <w:rsid w:val="00323CD1"/>
    <w:rsid w:val="00323CF6"/>
    <w:rsid w:val="00323E47"/>
    <w:rsid w:val="00323F5A"/>
    <w:rsid w:val="0032415B"/>
    <w:rsid w:val="003241C3"/>
    <w:rsid w:val="00324B62"/>
    <w:rsid w:val="00324CF9"/>
    <w:rsid w:val="00324F0F"/>
    <w:rsid w:val="00325170"/>
    <w:rsid w:val="003252BF"/>
    <w:rsid w:val="0032564D"/>
    <w:rsid w:val="0032566E"/>
    <w:rsid w:val="003258D4"/>
    <w:rsid w:val="0032595B"/>
    <w:rsid w:val="00325AFB"/>
    <w:rsid w:val="00325D5F"/>
    <w:rsid w:val="00326BC6"/>
    <w:rsid w:val="00326C73"/>
    <w:rsid w:val="00326E95"/>
    <w:rsid w:val="00326EB7"/>
    <w:rsid w:val="00327021"/>
    <w:rsid w:val="00327297"/>
    <w:rsid w:val="0032743E"/>
    <w:rsid w:val="00327560"/>
    <w:rsid w:val="00327596"/>
    <w:rsid w:val="0032782D"/>
    <w:rsid w:val="00327A93"/>
    <w:rsid w:val="00327AB5"/>
    <w:rsid w:val="00327B1D"/>
    <w:rsid w:val="00327DF1"/>
    <w:rsid w:val="00327FA2"/>
    <w:rsid w:val="0033004F"/>
    <w:rsid w:val="003300B5"/>
    <w:rsid w:val="003302EF"/>
    <w:rsid w:val="0033030F"/>
    <w:rsid w:val="003304B5"/>
    <w:rsid w:val="00330542"/>
    <w:rsid w:val="00330848"/>
    <w:rsid w:val="00330A89"/>
    <w:rsid w:val="00330B61"/>
    <w:rsid w:val="00330CE9"/>
    <w:rsid w:val="00330DC2"/>
    <w:rsid w:val="00330EC9"/>
    <w:rsid w:val="00330FAE"/>
    <w:rsid w:val="00331081"/>
    <w:rsid w:val="00331279"/>
    <w:rsid w:val="0033133D"/>
    <w:rsid w:val="00331535"/>
    <w:rsid w:val="003315AC"/>
    <w:rsid w:val="00331620"/>
    <w:rsid w:val="0033193F"/>
    <w:rsid w:val="00331A36"/>
    <w:rsid w:val="00331A65"/>
    <w:rsid w:val="00331B33"/>
    <w:rsid w:val="00331EFC"/>
    <w:rsid w:val="003321AA"/>
    <w:rsid w:val="0033233C"/>
    <w:rsid w:val="0033238D"/>
    <w:rsid w:val="003325AE"/>
    <w:rsid w:val="0033266C"/>
    <w:rsid w:val="0033267A"/>
    <w:rsid w:val="0033279E"/>
    <w:rsid w:val="0033289A"/>
    <w:rsid w:val="00332A07"/>
    <w:rsid w:val="00332D65"/>
    <w:rsid w:val="00332D6F"/>
    <w:rsid w:val="00332ECE"/>
    <w:rsid w:val="00333359"/>
    <w:rsid w:val="003335A9"/>
    <w:rsid w:val="00333834"/>
    <w:rsid w:val="00333890"/>
    <w:rsid w:val="00333AB2"/>
    <w:rsid w:val="0033402B"/>
    <w:rsid w:val="003340AC"/>
    <w:rsid w:val="00334669"/>
    <w:rsid w:val="00334680"/>
    <w:rsid w:val="003348C1"/>
    <w:rsid w:val="00334B85"/>
    <w:rsid w:val="00334E67"/>
    <w:rsid w:val="00334EAF"/>
    <w:rsid w:val="0033524C"/>
    <w:rsid w:val="003353DF"/>
    <w:rsid w:val="00335414"/>
    <w:rsid w:val="0033557D"/>
    <w:rsid w:val="0033582B"/>
    <w:rsid w:val="0033595F"/>
    <w:rsid w:val="00335CA3"/>
    <w:rsid w:val="00335E04"/>
    <w:rsid w:val="00335E34"/>
    <w:rsid w:val="0033636F"/>
    <w:rsid w:val="003364BF"/>
    <w:rsid w:val="003369EB"/>
    <w:rsid w:val="00336D86"/>
    <w:rsid w:val="00336DA3"/>
    <w:rsid w:val="00337189"/>
    <w:rsid w:val="003372CB"/>
    <w:rsid w:val="0033753E"/>
    <w:rsid w:val="0033783E"/>
    <w:rsid w:val="003378B1"/>
    <w:rsid w:val="0033793C"/>
    <w:rsid w:val="00337BE3"/>
    <w:rsid w:val="00337CD8"/>
    <w:rsid w:val="00337D63"/>
    <w:rsid w:val="00337E4F"/>
    <w:rsid w:val="00337E79"/>
    <w:rsid w:val="0034016B"/>
    <w:rsid w:val="00340622"/>
    <w:rsid w:val="00340B9A"/>
    <w:rsid w:val="00340C37"/>
    <w:rsid w:val="00340C77"/>
    <w:rsid w:val="00340CED"/>
    <w:rsid w:val="00340DF3"/>
    <w:rsid w:val="00340FA2"/>
    <w:rsid w:val="003414FB"/>
    <w:rsid w:val="00341602"/>
    <w:rsid w:val="00341669"/>
    <w:rsid w:val="00341B89"/>
    <w:rsid w:val="00341D07"/>
    <w:rsid w:val="00341F87"/>
    <w:rsid w:val="00342107"/>
    <w:rsid w:val="003421F5"/>
    <w:rsid w:val="00342364"/>
    <w:rsid w:val="003424F9"/>
    <w:rsid w:val="003425B1"/>
    <w:rsid w:val="003425E3"/>
    <w:rsid w:val="00342A82"/>
    <w:rsid w:val="00342BEB"/>
    <w:rsid w:val="00342F35"/>
    <w:rsid w:val="003430EC"/>
    <w:rsid w:val="0034315A"/>
    <w:rsid w:val="0034323F"/>
    <w:rsid w:val="003435DD"/>
    <w:rsid w:val="00343652"/>
    <w:rsid w:val="00343673"/>
    <w:rsid w:val="003437D2"/>
    <w:rsid w:val="00343842"/>
    <w:rsid w:val="00343994"/>
    <w:rsid w:val="00343DCB"/>
    <w:rsid w:val="00343DFE"/>
    <w:rsid w:val="003442F5"/>
    <w:rsid w:val="00344696"/>
    <w:rsid w:val="003446E3"/>
    <w:rsid w:val="0034470B"/>
    <w:rsid w:val="0034470C"/>
    <w:rsid w:val="0034475D"/>
    <w:rsid w:val="00344822"/>
    <w:rsid w:val="00344A3C"/>
    <w:rsid w:val="00344BF4"/>
    <w:rsid w:val="00344D71"/>
    <w:rsid w:val="003451CE"/>
    <w:rsid w:val="00345577"/>
    <w:rsid w:val="0034577F"/>
    <w:rsid w:val="003458F2"/>
    <w:rsid w:val="003458FF"/>
    <w:rsid w:val="00345BC4"/>
    <w:rsid w:val="00345C08"/>
    <w:rsid w:val="00345CAC"/>
    <w:rsid w:val="00345CCE"/>
    <w:rsid w:val="00345DCE"/>
    <w:rsid w:val="00346096"/>
    <w:rsid w:val="00346257"/>
    <w:rsid w:val="0034626C"/>
    <w:rsid w:val="00346591"/>
    <w:rsid w:val="00346951"/>
    <w:rsid w:val="00346997"/>
    <w:rsid w:val="00346FDD"/>
    <w:rsid w:val="0034715C"/>
    <w:rsid w:val="00347607"/>
    <w:rsid w:val="00347A37"/>
    <w:rsid w:val="00347A6E"/>
    <w:rsid w:val="00347B51"/>
    <w:rsid w:val="00347C53"/>
    <w:rsid w:val="003501B1"/>
    <w:rsid w:val="003502B5"/>
    <w:rsid w:val="00350534"/>
    <w:rsid w:val="003506DF"/>
    <w:rsid w:val="00350750"/>
    <w:rsid w:val="0035075B"/>
    <w:rsid w:val="003509F4"/>
    <w:rsid w:val="00350A94"/>
    <w:rsid w:val="00350B83"/>
    <w:rsid w:val="00350C0B"/>
    <w:rsid w:val="00350FF9"/>
    <w:rsid w:val="00351090"/>
    <w:rsid w:val="00351196"/>
    <w:rsid w:val="003511A4"/>
    <w:rsid w:val="003512D6"/>
    <w:rsid w:val="00351335"/>
    <w:rsid w:val="00351A27"/>
    <w:rsid w:val="00351B2F"/>
    <w:rsid w:val="00351CD4"/>
    <w:rsid w:val="00351E1D"/>
    <w:rsid w:val="00352095"/>
    <w:rsid w:val="00352157"/>
    <w:rsid w:val="00352243"/>
    <w:rsid w:val="0035230D"/>
    <w:rsid w:val="0035259D"/>
    <w:rsid w:val="00352A20"/>
    <w:rsid w:val="00352A7E"/>
    <w:rsid w:val="00352B2E"/>
    <w:rsid w:val="00352BCB"/>
    <w:rsid w:val="00352D1C"/>
    <w:rsid w:val="00353018"/>
    <w:rsid w:val="003532D9"/>
    <w:rsid w:val="0035366A"/>
    <w:rsid w:val="00353692"/>
    <w:rsid w:val="00353A0A"/>
    <w:rsid w:val="00353E22"/>
    <w:rsid w:val="00353F2B"/>
    <w:rsid w:val="00354420"/>
    <w:rsid w:val="00354812"/>
    <w:rsid w:val="0035487B"/>
    <w:rsid w:val="00354913"/>
    <w:rsid w:val="00354948"/>
    <w:rsid w:val="00354B6E"/>
    <w:rsid w:val="00354BB7"/>
    <w:rsid w:val="00354C84"/>
    <w:rsid w:val="00354F42"/>
    <w:rsid w:val="003550AF"/>
    <w:rsid w:val="003553E8"/>
    <w:rsid w:val="00355484"/>
    <w:rsid w:val="00355961"/>
    <w:rsid w:val="003559A0"/>
    <w:rsid w:val="00355D5C"/>
    <w:rsid w:val="00355D9A"/>
    <w:rsid w:val="00355DAA"/>
    <w:rsid w:val="00356004"/>
    <w:rsid w:val="00356148"/>
    <w:rsid w:val="0035617F"/>
    <w:rsid w:val="003561D3"/>
    <w:rsid w:val="00356207"/>
    <w:rsid w:val="0035626A"/>
    <w:rsid w:val="0035638F"/>
    <w:rsid w:val="00356651"/>
    <w:rsid w:val="00356763"/>
    <w:rsid w:val="003569CA"/>
    <w:rsid w:val="00356B6D"/>
    <w:rsid w:val="00356CF3"/>
    <w:rsid w:val="0035722D"/>
    <w:rsid w:val="0035734D"/>
    <w:rsid w:val="003573EB"/>
    <w:rsid w:val="00357406"/>
    <w:rsid w:val="0035742E"/>
    <w:rsid w:val="0035778E"/>
    <w:rsid w:val="003577DC"/>
    <w:rsid w:val="00357858"/>
    <w:rsid w:val="003578D5"/>
    <w:rsid w:val="00357AC6"/>
    <w:rsid w:val="00357B78"/>
    <w:rsid w:val="00357D82"/>
    <w:rsid w:val="00357E8D"/>
    <w:rsid w:val="00357FB6"/>
    <w:rsid w:val="00360000"/>
    <w:rsid w:val="003601C6"/>
    <w:rsid w:val="003602AF"/>
    <w:rsid w:val="00360655"/>
    <w:rsid w:val="0036067A"/>
    <w:rsid w:val="003606BA"/>
    <w:rsid w:val="003608D8"/>
    <w:rsid w:val="003609C1"/>
    <w:rsid w:val="00360A04"/>
    <w:rsid w:val="00360ACC"/>
    <w:rsid w:val="00360F00"/>
    <w:rsid w:val="003610FF"/>
    <w:rsid w:val="00361460"/>
    <w:rsid w:val="003614A6"/>
    <w:rsid w:val="00361CA1"/>
    <w:rsid w:val="00361CC7"/>
    <w:rsid w:val="00361F94"/>
    <w:rsid w:val="0036214E"/>
    <w:rsid w:val="00362300"/>
    <w:rsid w:val="00362305"/>
    <w:rsid w:val="00362339"/>
    <w:rsid w:val="0036291B"/>
    <w:rsid w:val="00362B32"/>
    <w:rsid w:val="00362BD9"/>
    <w:rsid w:val="00362F1A"/>
    <w:rsid w:val="0036341C"/>
    <w:rsid w:val="0036341D"/>
    <w:rsid w:val="00363531"/>
    <w:rsid w:val="003635E2"/>
    <w:rsid w:val="00363997"/>
    <w:rsid w:val="00363B11"/>
    <w:rsid w:val="003642F6"/>
    <w:rsid w:val="003643D2"/>
    <w:rsid w:val="00364682"/>
    <w:rsid w:val="0036485E"/>
    <w:rsid w:val="00364B16"/>
    <w:rsid w:val="00364BE2"/>
    <w:rsid w:val="00364D70"/>
    <w:rsid w:val="00364D90"/>
    <w:rsid w:val="00364EDE"/>
    <w:rsid w:val="00364F3F"/>
    <w:rsid w:val="00364FC4"/>
    <w:rsid w:val="003651BB"/>
    <w:rsid w:val="0036546D"/>
    <w:rsid w:val="00365543"/>
    <w:rsid w:val="00365666"/>
    <w:rsid w:val="003656B5"/>
    <w:rsid w:val="003656BE"/>
    <w:rsid w:val="00365795"/>
    <w:rsid w:val="00365A6F"/>
    <w:rsid w:val="00365C3A"/>
    <w:rsid w:val="00366046"/>
    <w:rsid w:val="003663FB"/>
    <w:rsid w:val="00366460"/>
    <w:rsid w:val="003668C9"/>
    <w:rsid w:val="0036698B"/>
    <w:rsid w:val="00366B64"/>
    <w:rsid w:val="003670ED"/>
    <w:rsid w:val="00367173"/>
    <w:rsid w:val="003671EA"/>
    <w:rsid w:val="003672C7"/>
    <w:rsid w:val="003673CE"/>
    <w:rsid w:val="00367429"/>
    <w:rsid w:val="00367689"/>
    <w:rsid w:val="0036771D"/>
    <w:rsid w:val="003677D5"/>
    <w:rsid w:val="0036785E"/>
    <w:rsid w:val="00367BCD"/>
    <w:rsid w:val="00367C9A"/>
    <w:rsid w:val="00367D77"/>
    <w:rsid w:val="00367D9F"/>
    <w:rsid w:val="00367FB1"/>
    <w:rsid w:val="0037007B"/>
    <w:rsid w:val="003705CD"/>
    <w:rsid w:val="003707B0"/>
    <w:rsid w:val="0037098A"/>
    <w:rsid w:val="00370B8B"/>
    <w:rsid w:val="00370BB7"/>
    <w:rsid w:val="00370E23"/>
    <w:rsid w:val="00370ECE"/>
    <w:rsid w:val="00370EEA"/>
    <w:rsid w:val="00370FBF"/>
    <w:rsid w:val="00371008"/>
    <w:rsid w:val="003710F9"/>
    <w:rsid w:val="0037131B"/>
    <w:rsid w:val="00371760"/>
    <w:rsid w:val="00371804"/>
    <w:rsid w:val="00371E1D"/>
    <w:rsid w:val="00372283"/>
    <w:rsid w:val="003722C7"/>
    <w:rsid w:val="0037240D"/>
    <w:rsid w:val="003725ED"/>
    <w:rsid w:val="00373284"/>
    <w:rsid w:val="003732DC"/>
    <w:rsid w:val="00373422"/>
    <w:rsid w:val="00373447"/>
    <w:rsid w:val="00373662"/>
    <w:rsid w:val="0037374B"/>
    <w:rsid w:val="00373AF3"/>
    <w:rsid w:val="00373DE4"/>
    <w:rsid w:val="00373E8C"/>
    <w:rsid w:val="0037400A"/>
    <w:rsid w:val="003743F9"/>
    <w:rsid w:val="00374403"/>
    <w:rsid w:val="00374457"/>
    <w:rsid w:val="003745AF"/>
    <w:rsid w:val="00374685"/>
    <w:rsid w:val="003747B4"/>
    <w:rsid w:val="00374A1F"/>
    <w:rsid w:val="00374A54"/>
    <w:rsid w:val="00374CA0"/>
    <w:rsid w:val="00374EF6"/>
    <w:rsid w:val="00374F3B"/>
    <w:rsid w:val="00375022"/>
    <w:rsid w:val="00375114"/>
    <w:rsid w:val="00375127"/>
    <w:rsid w:val="00375174"/>
    <w:rsid w:val="0037534E"/>
    <w:rsid w:val="003755EB"/>
    <w:rsid w:val="0037569C"/>
    <w:rsid w:val="003757E0"/>
    <w:rsid w:val="003758CE"/>
    <w:rsid w:val="00375D4A"/>
    <w:rsid w:val="00375F05"/>
    <w:rsid w:val="00375FD7"/>
    <w:rsid w:val="00376045"/>
    <w:rsid w:val="003760CC"/>
    <w:rsid w:val="00376251"/>
    <w:rsid w:val="00376545"/>
    <w:rsid w:val="003768E2"/>
    <w:rsid w:val="00376E4B"/>
    <w:rsid w:val="0037700E"/>
    <w:rsid w:val="00377067"/>
    <w:rsid w:val="0037724F"/>
    <w:rsid w:val="00377383"/>
    <w:rsid w:val="003774A9"/>
    <w:rsid w:val="003774ED"/>
    <w:rsid w:val="00377C3D"/>
    <w:rsid w:val="00377CCD"/>
    <w:rsid w:val="00377DD9"/>
    <w:rsid w:val="0038008A"/>
    <w:rsid w:val="003800CC"/>
    <w:rsid w:val="0038018B"/>
    <w:rsid w:val="00380342"/>
    <w:rsid w:val="0038056A"/>
    <w:rsid w:val="00380590"/>
    <w:rsid w:val="003805ED"/>
    <w:rsid w:val="00380710"/>
    <w:rsid w:val="00380869"/>
    <w:rsid w:val="0038087D"/>
    <w:rsid w:val="00380B86"/>
    <w:rsid w:val="00380BDD"/>
    <w:rsid w:val="00380BED"/>
    <w:rsid w:val="00380E88"/>
    <w:rsid w:val="003811E1"/>
    <w:rsid w:val="003816D6"/>
    <w:rsid w:val="003818C5"/>
    <w:rsid w:val="003819F7"/>
    <w:rsid w:val="00381A5A"/>
    <w:rsid w:val="00381AD2"/>
    <w:rsid w:val="00381B43"/>
    <w:rsid w:val="00382112"/>
    <w:rsid w:val="003821B1"/>
    <w:rsid w:val="0038221A"/>
    <w:rsid w:val="003823AF"/>
    <w:rsid w:val="003824C0"/>
    <w:rsid w:val="003825CC"/>
    <w:rsid w:val="00382643"/>
    <w:rsid w:val="00382692"/>
    <w:rsid w:val="003826B4"/>
    <w:rsid w:val="003829A4"/>
    <w:rsid w:val="00382A18"/>
    <w:rsid w:val="00382B19"/>
    <w:rsid w:val="00382D8B"/>
    <w:rsid w:val="00382F04"/>
    <w:rsid w:val="00383675"/>
    <w:rsid w:val="003836F6"/>
    <w:rsid w:val="00383710"/>
    <w:rsid w:val="00383818"/>
    <w:rsid w:val="00383D69"/>
    <w:rsid w:val="00383E45"/>
    <w:rsid w:val="00383E99"/>
    <w:rsid w:val="0038417D"/>
    <w:rsid w:val="003841FB"/>
    <w:rsid w:val="00384466"/>
    <w:rsid w:val="0038465B"/>
    <w:rsid w:val="003848E7"/>
    <w:rsid w:val="00384D1A"/>
    <w:rsid w:val="00384D53"/>
    <w:rsid w:val="00384DA2"/>
    <w:rsid w:val="00384DE0"/>
    <w:rsid w:val="00384EC5"/>
    <w:rsid w:val="00385124"/>
    <w:rsid w:val="0038525D"/>
    <w:rsid w:val="003856D3"/>
    <w:rsid w:val="0038597A"/>
    <w:rsid w:val="00385B20"/>
    <w:rsid w:val="00385BC1"/>
    <w:rsid w:val="00385C86"/>
    <w:rsid w:val="0038604C"/>
    <w:rsid w:val="00386657"/>
    <w:rsid w:val="0038680C"/>
    <w:rsid w:val="00386851"/>
    <w:rsid w:val="00386985"/>
    <w:rsid w:val="003869CB"/>
    <w:rsid w:val="003869E6"/>
    <w:rsid w:val="00386B31"/>
    <w:rsid w:val="00386F02"/>
    <w:rsid w:val="00386FF4"/>
    <w:rsid w:val="003870E3"/>
    <w:rsid w:val="0038742A"/>
    <w:rsid w:val="0038764B"/>
    <w:rsid w:val="003877DF"/>
    <w:rsid w:val="0038791C"/>
    <w:rsid w:val="00387BED"/>
    <w:rsid w:val="00387C7F"/>
    <w:rsid w:val="00387D12"/>
    <w:rsid w:val="00387F7E"/>
    <w:rsid w:val="00390578"/>
    <w:rsid w:val="003906BC"/>
    <w:rsid w:val="00390767"/>
    <w:rsid w:val="00390993"/>
    <w:rsid w:val="00390C94"/>
    <w:rsid w:val="0039103C"/>
    <w:rsid w:val="00391045"/>
    <w:rsid w:val="00391397"/>
    <w:rsid w:val="003913A0"/>
    <w:rsid w:val="0039146C"/>
    <w:rsid w:val="00391782"/>
    <w:rsid w:val="0039199E"/>
    <w:rsid w:val="00391AD5"/>
    <w:rsid w:val="00391E28"/>
    <w:rsid w:val="00392099"/>
    <w:rsid w:val="003920E7"/>
    <w:rsid w:val="003921BE"/>
    <w:rsid w:val="003921DB"/>
    <w:rsid w:val="003922BB"/>
    <w:rsid w:val="003924FA"/>
    <w:rsid w:val="003925CE"/>
    <w:rsid w:val="00392943"/>
    <w:rsid w:val="00392E14"/>
    <w:rsid w:val="00392E4D"/>
    <w:rsid w:val="00392E51"/>
    <w:rsid w:val="00392EA0"/>
    <w:rsid w:val="00392EA6"/>
    <w:rsid w:val="00392FF7"/>
    <w:rsid w:val="003930F9"/>
    <w:rsid w:val="00393524"/>
    <w:rsid w:val="00393720"/>
    <w:rsid w:val="003937CF"/>
    <w:rsid w:val="0039381D"/>
    <w:rsid w:val="00393F98"/>
    <w:rsid w:val="00393FF1"/>
    <w:rsid w:val="00394033"/>
    <w:rsid w:val="003941E2"/>
    <w:rsid w:val="0039442A"/>
    <w:rsid w:val="00394438"/>
    <w:rsid w:val="0039456F"/>
    <w:rsid w:val="00394B3D"/>
    <w:rsid w:val="00394C37"/>
    <w:rsid w:val="003951AD"/>
    <w:rsid w:val="00395233"/>
    <w:rsid w:val="003954D4"/>
    <w:rsid w:val="00395523"/>
    <w:rsid w:val="0039583D"/>
    <w:rsid w:val="00395912"/>
    <w:rsid w:val="00395EC9"/>
    <w:rsid w:val="00395EDA"/>
    <w:rsid w:val="00395F79"/>
    <w:rsid w:val="0039607B"/>
    <w:rsid w:val="00396453"/>
    <w:rsid w:val="00396774"/>
    <w:rsid w:val="003967F7"/>
    <w:rsid w:val="00396BC4"/>
    <w:rsid w:val="00396D86"/>
    <w:rsid w:val="00396ED7"/>
    <w:rsid w:val="00396F12"/>
    <w:rsid w:val="00397441"/>
    <w:rsid w:val="0039757B"/>
    <w:rsid w:val="00397597"/>
    <w:rsid w:val="00397614"/>
    <w:rsid w:val="00397641"/>
    <w:rsid w:val="00397D3A"/>
    <w:rsid w:val="00397E9C"/>
    <w:rsid w:val="003A018F"/>
    <w:rsid w:val="003A0AB9"/>
    <w:rsid w:val="003A0B49"/>
    <w:rsid w:val="003A0DFE"/>
    <w:rsid w:val="003A1124"/>
    <w:rsid w:val="003A1428"/>
    <w:rsid w:val="003A17F8"/>
    <w:rsid w:val="003A1A2E"/>
    <w:rsid w:val="003A1B59"/>
    <w:rsid w:val="003A1D80"/>
    <w:rsid w:val="003A208F"/>
    <w:rsid w:val="003A21C4"/>
    <w:rsid w:val="003A251B"/>
    <w:rsid w:val="003A2590"/>
    <w:rsid w:val="003A289F"/>
    <w:rsid w:val="003A2B0A"/>
    <w:rsid w:val="003A2C98"/>
    <w:rsid w:val="003A2D29"/>
    <w:rsid w:val="003A2DCF"/>
    <w:rsid w:val="003A2E24"/>
    <w:rsid w:val="003A2EA2"/>
    <w:rsid w:val="003A2F18"/>
    <w:rsid w:val="003A301F"/>
    <w:rsid w:val="003A302C"/>
    <w:rsid w:val="003A3480"/>
    <w:rsid w:val="003A3504"/>
    <w:rsid w:val="003A36CC"/>
    <w:rsid w:val="003A36D0"/>
    <w:rsid w:val="003A36D3"/>
    <w:rsid w:val="003A37BD"/>
    <w:rsid w:val="003A3C93"/>
    <w:rsid w:val="003A3F8D"/>
    <w:rsid w:val="003A419F"/>
    <w:rsid w:val="003A42D1"/>
    <w:rsid w:val="003A4430"/>
    <w:rsid w:val="003A4560"/>
    <w:rsid w:val="003A4647"/>
    <w:rsid w:val="003A467D"/>
    <w:rsid w:val="003A496E"/>
    <w:rsid w:val="003A4C61"/>
    <w:rsid w:val="003A4EE5"/>
    <w:rsid w:val="003A520E"/>
    <w:rsid w:val="003A5386"/>
    <w:rsid w:val="003A56C1"/>
    <w:rsid w:val="003A58E6"/>
    <w:rsid w:val="003A590B"/>
    <w:rsid w:val="003A5969"/>
    <w:rsid w:val="003A5C81"/>
    <w:rsid w:val="003A5CD2"/>
    <w:rsid w:val="003A5E58"/>
    <w:rsid w:val="003A5E66"/>
    <w:rsid w:val="003A60F8"/>
    <w:rsid w:val="003A61C7"/>
    <w:rsid w:val="003A61FA"/>
    <w:rsid w:val="003A644A"/>
    <w:rsid w:val="003A6453"/>
    <w:rsid w:val="003A64F0"/>
    <w:rsid w:val="003A658B"/>
    <w:rsid w:val="003A68F0"/>
    <w:rsid w:val="003A6ADD"/>
    <w:rsid w:val="003A6AE8"/>
    <w:rsid w:val="003A6B4F"/>
    <w:rsid w:val="003A7065"/>
    <w:rsid w:val="003A71FE"/>
    <w:rsid w:val="003A7339"/>
    <w:rsid w:val="003A73BD"/>
    <w:rsid w:val="003A746A"/>
    <w:rsid w:val="003A769C"/>
    <w:rsid w:val="003A77CB"/>
    <w:rsid w:val="003A7B5F"/>
    <w:rsid w:val="003A7D52"/>
    <w:rsid w:val="003A7EE7"/>
    <w:rsid w:val="003A7F91"/>
    <w:rsid w:val="003B006C"/>
    <w:rsid w:val="003B01D0"/>
    <w:rsid w:val="003B0358"/>
    <w:rsid w:val="003B037C"/>
    <w:rsid w:val="003B0453"/>
    <w:rsid w:val="003B0704"/>
    <w:rsid w:val="003B0747"/>
    <w:rsid w:val="003B08B1"/>
    <w:rsid w:val="003B094F"/>
    <w:rsid w:val="003B0B2F"/>
    <w:rsid w:val="003B0B50"/>
    <w:rsid w:val="003B10C9"/>
    <w:rsid w:val="003B14C7"/>
    <w:rsid w:val="003B1638"/>
    <w:rsid w:val="003B1815"/>
    <w:rsid w:val="003B1D04"/>
    <w:rsid w:val="003B1DC9"/>
    <w:rsid w:val="003B1DD0"/>
    <w:rsid w:val="003B1EDD"/>
    <w:rsid w:val="003B1F29"/>
    <w:rsid w:val="003B1FFD"/>
    <w:rsid w:val="003B2008"/>
    <w:rsid w:val="003B20DA"/>
    <w:rsid w:val="003B2210"/>
    <w:rsid w:val="003B241F"/>
    <w:rsid w:val="003B24CC"/>
    <w:rsid w:val="003B2643"/>
    <w:rsid w:val="003B26F2"/>
    <w:rsid w:val="003B28C5"/>
    <w:rsid w:val="003B2C14"/>
    <w:rsid w:val="003B2D79"/>
    <w:rsid w:val="003B2E09"/>
    <w:rsid w:val="003B2F77"/>
    <w:rsid w:val="003B2FBB"/>
    <w:rsid w:val="003B30AA"/>
    <w:rsid w:val="003B30D4"/>
    <w:rsid w:val="003B3198"/>
    <w:rsid w:val="003B3486"/>
    <w:rsid w:val="003B3796"/>
    <w:rsid w:val="003B3852"/>
    <w:rsid w:val="003B3916"/>
    <w:rsid w:val="003B3B91"/>
    <w:rsid w:val="003B3C40"/>
    <w:rsid w:val="003B3D5E"/>
    <w:rsid w:val="003B3E3F"/>
    <w:rsid w:val="003B40E5"/>
    <w:rsid w:val="003B4270"/>
    <w:rsid w:val="003B4544"/>
    <w:rsid w:val="003B4655"/>
    <w:rsid w:val="003B499B"/>
    <w:rsid w:val="003B4C02"/>
    <w:rsid w:val="003B4C4F"/>
    <w:rsid w:val="003B4CBD"/>
    <w:rsid w:val="003B4D7D"/>
    <w:rsid w:val="003B4E97"/>
    <w:rsid w:val="003B4F7C"/>
    <w:rsid w:val="003B509D"/>
    <w:rsid w:val="003B50BA"/>
    <w:rsid w:val="003B5411"/>
    <w:rsid w:val="003B57F0"/>
    <w:rsid w:val="003B5A50"/>
    <w:rsid w:val="003B5B74"/>
    <w:rsid w:val="003B5C65"/>
    <w:rsid w:val="003B5D68"/>
    <w:rsid w:val="003B5EE7"/>
    <w:rsid w:val="003B6058"/>
    <w:rsid w:val="003B6612"/>
    <w:rsid w:val="003B682E"/>
    <w:rsid w:val="003B6A2F"/>
    <w:rsid w:val="003B6B32"/>
    <w:rsid w:val="003B6BEF"/>
    <w:rsid w:val="003B7125"/>
    <w:rsid w:val="003B7450"/>
    <w:rsid w:val="003B7592"/>
    <w:rsid w:val="003B78A0"/>
    <w:rsid w:val="003B7AA8"/>
    <w:rsid w:val="003B7D76"/>
    <w:rsid w:val="003B7E15"/>
    <w:rsid w:val="003B7E52"/>
    <w:rsid w:val="003C0226"/>
    <w:rsid w:val="003C0DA2"/>
    <w:rsid w:val="003C0E74"/>
    <w:rsid w:val="003C0E8D"/>
    <w:rsid w:val="003C0F87"/>
    <w:rsid w:val="003C123F"/>
    <w:rsid w:val="003C16F2"/>
    <w:rsid w:val="003C1712"/>
    <w:rsid w:val="003C1766"/>
    <w:rsid w:val="003C18B3"/>
    <w:rsid w:val="003C1997"/>
    <w:rsid w:val="003C19D4"/>
    <w:rsid w:val="003C19E0"/>
    <w:rsid w:val="003C1A0F"/>
    <w:rsid w:val="003C1ABB"/>
    <w:rsid w:val="003C23EF"/>
    <w:rsid w:val="003C2405"/>
    <w:rsid w:val="003C2612"/>
    <w:rsid w:val="003C264E"/>
    <w:rsid w:val="003C28F7"/>
    <w:rsid w:val="003C2AD6"/>
    <w:rsid w:val="003C2D65"/>
    <w:rsid w:val="003C2DEE"/>
    <w:rsid w:val="003C2E7A"/>
    <w:rsid w:val="003C2FFF"/>
    <w:rsid w:val="003C3014"/>
    <w:rsid w:val="003C353B"/>
    <w:rsid w:val="003C353F"/>
    <w:rsid w:val="003C35B0"/>
    <w:rsid w:val="003C3676"/>
    <w:rsid w:val="003C3691"/>
    <w:rsid w:val="003C36D2"/>
    <w:rsid w:val="003C3A80"/>
    <w:rsid w:val="003C3CDA"/>
    <w:rsid w:val="003C3F76"/>
    <w:rsid w:val="003C3FE8"/>
    <w:rsid w:val="003C40C0"/>
    <w:rsid w:val="003C4275"/>
    <w:rsid w:val="003C4414"/>
    <w:rsid w:val="003C447F"/>
    <w:rsid w:val="003C450B"/>
    <w:rsid w:val="003C467C"/>
    <w:rsid w:val="003C46D9"/>
    <w:rsid w:val="003C4758"/>
    <w:rsid w:val="003C4769"/>
    <w:rsid w:val="003C47AC"/>
    <w:rsid w:val="003C4B11"/>
    <w:rsid w:val="003C4EC8"/>
    <w:rsid w:val="003C4FD8"/>
    <w:rsid w:val="003C53CB"/>
    <w:rsid w:val="003C5553"/>
    <w:rsid w:val="003C578E"/>
    <w:rsid w:val="003C58D0"/>
    <w:rsid w:val="003C59F7"/>
    <w:rsid w:val="003C5A28"/>
    <w:rsid w:val="003C5D69"/>
    <w:rsid w:val="003C5D80"/>
    <w:rsid w:val="003C5DF7"/>
    <w:rsid w:val="003C5EFA"/>
    <w:rsid w:val="003C5FBF"/>
    <w:rsid w:val="003C5FDF"/>
    <w:rsid w:val="003C6027"/>
    <w:rsid w:val="003C6035"/>
    <w:rsid w:val="003C6045"/>
    <w:rsid w:val="003C6075"/>
    <w:rsid w:val="003C62A7"/>
    <w:rsid w:val="003C667C"/>
    <w:rsid w:val="003C6763"/>
    <w:rsid w:val="003C6CA4"/>
    <w:rsid w:val="003C6ECE"/>
    <w:rsid w:val="003C6F4B"/>
    <w:rsid w:val="003C70F9"/>
    <w:rsid w:val="003C7429"/>
    <w:rsid w:val="003C755B"/>
    <w:rsid w:val="003C75B2"/>
    <w:rsid w:val="003C75E4"/>
    <w:rsid w:val="003C7628"/>
    <w:rsid w:val="003D058C"/>
    <w:rsid w:val="003D06BD"/>
    <w:rsid w:val="003D112E"/>
    <w:rsid w:val="003D1131"/>
    <w:rsid w:val="003D116B"/>
    <w:rsid w:val="003D11D5"/>
    <w:rsid w:val="003D11F1"/>
    <w:rsid w:val="003D123E"/>
    <w:rsid w:val="003D195C"/>
    <w:rsid w:val="003D1A5E"/>
    <w:rsid w:val="003D1C38"/>
    <w:rsid w:val="003D2045"/>
    <w:rsid w:val="003D209D"/>
    <w:rsid w:val="003D2246"/>
    <w:rsid w:val="003D24AA"/>
    <w:rsid w:val="003D2670"/>
    <w:rsid w:val="003D26E8"/>
    <w:rsid w:val="003D27BC"/>
    <w:rsid w:val="003D29E7"/>
    <w:rsid w:val="003D2A16"/>
    <w:rsid w:val="003D2AB9"/>
    <w:rsid w:val="003D2D35"/>
    <w:rsid w:val="003D2E1A"/>
    <w:rsid w:val="003D2ED7"/>
    <w:rsid w:val="003D2F30"/>
    <w:rsid w:val="003D30C0"/>
    <w:rsid w:val="003D319C"/>
    <w:rsid w:val="003D321D"/>
    <w:rsid w:val="003D36B9"/>
    <w:rsid w:val="003D387E"/>
    <w:rsid w:val="003D38B8"/>
    <w:rsid w:val="003D390C"/>
    <w:rsid w:val="003D3A93"/>
    <w:rsid w:val="003D3AD1"/>
    <w:rsid w:val="003D3BCD"/>
    <w:rsid w:val="003D42EE"/>
    <w:rsid w:val="003D46D5"/>
    <w:rsid w:val="003D48D3"/>
    <w:rsid w:val="003D4CAD"/>
    <w:rsid w:val="003D50EF"/>
    <w:rsid w:val="003D53E7"/>
    <w:rsid w:val="003D5564"/>
    <w:rsid w:val="003D561C"/>
    <w:rsid w:val="003D56EA"/>
    <w:rsid w:val="003D580A"/>
    <w:rsid w:val="003D596A"/>
    <w:rsid w:val="003D59E8"/>
    <w:rsid w:val="003D5A13"/>
    <w:rsid w:val="003D5ABF"/>
    <w:rsid w:val="003D5AE5"/>
    <w:rsid w:val="003D5C21"/>
    <w:rsid w:val="003D5F54"/>
    <w:rsid w:val="003D5F68"/>
    <w:rsid w:val="003D60D8"/>
    <w:rsid w:val="003D62E4"/>
    <w:rsid w:val="003D6425"/>
    <w:rsid w:val="003D65FD"/>
    <w:rsid w:val="003D7282"/>
    <w:rsid w:val="003D7325"/>
    <w:rsid w:val="003D73D2"/>
    <w:rsid w:val="003D74CE"/>
    <w:rsid w:val="003D74D6"/>
    <w:rsid w:val="003D7642"/>
    <w:rsid w:val="003D76E3"/>
    <w:rsid w:val="003D774B"/>
    <w:rsid w:val="003D774E"/>
    <w:rsid w:val="003D77E6"/>
    <w:rsid w:val="003E0279"/>
    <w:rsid w:val="003E0464"/>
    <w:rsid w:val="003E07A0"/>
    <w:rsid w:val="003E0837"/>
    <w:rsid w:val="003E0A9E"/>
    <w:rsid w:val="003E0C5D"/>
    <w:rsid w:val="003E0C8A"/>
    <w:rsid w:val="003E0E04"/>
    <w:rsid w:val="003E0E27"/>
    <w:rsid w:val="003E0F4D"/>
    <w:rsid w:val="003E110A"/>
    <w:rsid w:val="003E11DC"/>
    <w:rsid w:val="003E166B"/>
    <w:rsid w:val="003E1861"/>
    <w:rsid w:val="003E1EFB"/>
    <w:rsid w:val="003E2568"/>
    <w:rsid w:val="003E25F1"/>
    <w:rsid w:val="003E2671"/>
    <w:rsid w:val="003E26EB"/>
    <w:rsid w:val="003E27D7"/>
    <w:rsid w:val="003E29D7"/>
    <w:rsid w:val="003E2AC7"/>
    <w:rsid w:val="003E2AFC"/>
    <w:rsid w:val="003E2E44"/>
    <w:rsid w:val="003E2F61"/>
    <w:rsid w:val="003E3008"/>
    <w:rsid w:val="003E3113"/>
    <w:rsid w:val="003E317C"/>
    <w:rsid w:val="003E31DC"/>
    <w:rsid w:val="003E31EF"/>
    <w:rsid w:val="003E3518"/>
    <w:rsid w:val="003E369A"/>
    <w:rsid w:val="003E3726"/>
    <w:rsid w:val="003E38F3"/>
    <w:rsid w:val="003E39F1"/>
    <w:rsid w:val="003E3A5C"/>
    <w:rsid w:val="003E3C7F"/>
    <w:rsid w:val="003E3EB9"/>
    <w:rsid w:val="003E41AB"/>
    <w:rsid w:val="003E43BD"/>
    <w:rsid w:val="003E4A9A"/>
    <w:rsid w:val="003E4B28"/>
    <w:rsid w:val="003E4D65"/>
    <w:rsid w:val="003E4FDF"/>
    <w:rsid w:val="003E5248"/>
    <w:rsid w:val="003E5703"/>
    <w:rsid w:val="003E5763"/>
    <w:rsid w:val="003E57D1"/>
    <w:rsid w:val="003E59C6"/>
    <w:rsid w:val="003E5BAE"/>
    <w:rsid w:val="003E5E47"/>
    <w:rsid w:val="003E5E56"/>
    <w:rsid w:val="003E5EF6"/>
    <w:rsid w:val="003E606B"/>
    <w:rsid w:val="003E607D"/>
    <w:rsid w:val="003E6313"/>
    <w:rsid w:val="003E6406"/>
    <w:rsid w:val="003E646F"/>
    <w:rsid w:val="003E65BF"/>
    <w:rsid w:val="003E6753"/>
    <w:rsid w:val="003E676D"/>
    <w:rsid w:val="003E67DA"/>
    <w:rsid w:val="003E6A20"/>
    <w:rsid w:val="003E6C56"/>
    <w:rsid w:val="003E6D48"/>
    <w:rsid w:val="003E6EA3"/>
    <w:rsid w:val="003E6EDF"/>
    <w:rsid w:val="003E6FAD"/>
    <w:rsid w:val="003E7299"/>
    <w:rsid w:val="003E7358"/>
    <w:rsid w:val="003E73CF"/>
    <w:rsid w:val="003E760C"/>
    <w:rsid w:val="003E761B"/>
    <w:rsid w:val="003E7720"/>
    <w:rsid w:val="003E77EA"/>
    <w:rsid w:val="003E791F"/>
    <w:rsid w:val="003E79EC"/>
    <w:rsid w:val="003E7B7E"/>
    <w:rsid w:val="003E7CF9"/>
    <w:rsid w:val="003E7D3F"/>
    <w:rsid w:val="003E7DCE"/>
    <w:rsid w:val="003E7EB2"/>
    <w:rsid w:val="003F0317"/>
    <w:rsid w:val="003F043E"/>
    <w:rsid w:val="003F0470"/>
    <w:rsid w:val="003F0629"/>
    <w:rsid w:val="003F0684"/>
    <w:rsid w:val="003F081B"/>
    <w:rsid w:val="003F08BB"/>
    <w:rsid w:val="003F094D"/>
    <w:rsid w:val="003F0A3C"/>
    <w:rsid w:val="003F0AAA"/>
    <w:rsid w:val="003F0B56"/>
    <w:rsid w:val="003F0BA3"/>
    <w:rsid w:val="003F0FD0"/>
    <w:rsid w:val="003F10C1"/>
    <w:rsid w:val="003F10EE"/>
    <w:rsid w:val="003F11F8"/>
    <w:rsid w:val="003F12D4"/>
    <w:rsid w:val="003F135B"/>
    <w:rsid w:val="003F14F4"/>
    <w:rsid w:val="003F1963"/>
    <w:rsid w:val="003F1B0C"/>
    <w:rsid w:val="003F1BC3"/>
    <w:rsid w:val="003F218C"/>
    <w:rsid w:val="003F2265"/>
    <w:rsid w:val="003F2465"/>
    <w:rsid w:val="003F25F1"/>
    <w:rsid w:val="003F339B"/>
    <w:rsid w:val="003F35D6"/>
    <w:rsid w:val="003F38F3"/>
    <w:rsid w:val="003F3ACC"/>
    <w:rsid w:val="003F3D3F"/>
    <w:rsid w:val="003F3D50"/>
    <w:rsid w:val="003F4006"/>
    <w:rsid w:val="003F4A69"/>
    <w:rsid w:val="003F4C17"/>
    <w:rsid w:val="003F4C3E"/>
    <w:rsid w:val="003F4EA4"/>
    <w:rsid w:val="003F5197"/>
    <w:rsid w:val="003F590C"/>
    <w:rsid w:val="003F5A0E"/>
    <w:rsid w:val="003F5B05"/>
    <w:rsid w:val="003F5C2F"/>
    <w:rsid w:val="003F5CC1"/>
    <w:rsid w:val="003F5CDF"/>
    <w:rsid w:val="003F5E4E"/>
    <w:rsid w:val="003F5E6D"/>
    <w:rsid w:val="003F5E94"/>
    <w:rsid w:val="003F5F3D"/>
    <w:rsid w:val="003F60F5"/>
    <w:rsid w:val="003F6836"/>
    <w:rsid w:val="003F6851"/>
    <w:rsid w:val="003F6C56"/>
    <w:rsid w:val="003F6FF8"/>
    <w:rsid w:val="003F700D"/>
    <w:rsid w:val="003F71C3"/>
    <w:rsid w:val="003F721B"/>
    <w:rsid w:val="003F74A1"/>
    <w:rsid w:val="003F759A"/>
    <w:rsid w:val="003F7605"/>
    <w:rsid w:val="003F771C"/>
    <w:rsid w:val="003F776D"/>
    <w:rsid w:val="003F7A5A"/>
    <w:rsid w:val="003F7C01"/>
    <w:rsid w:val="003F7D64"/>
    <w:rsid w:val="003F7D6E"/>
    <w:rsid w:val="003F7DE0"/>
    <w:rsid w:val="00400063"/>
    <w:rsid w:val="00400402"/>
    <w:rsid w:val="00400591"/>
    <w:rsid w:val="004005AC"/>
    <w:rsid w:val="00400797"/>
    <w:rsid w:val="00400803"/>
    <w:rsid w:val="00400820"/>
    <w:rsid w:val="00400D50"/>
    <w:rsid w:val="00400D8C"/>
    <w:rsid w:val="00401076"/>
    <w:rsid w:val="0040110D"/>
    <w:rsid w:val="00401130"/>
    <w:rsid w:val="0040133C"/>
    <w:rsid w:val="0040152D"/>
    <w:rsid w:val="00401590"/>
    <w:rsid w:val="0040159D"/>
    <w:rsid w:val="004015BD"/>
    <w:rsid w:val="0040170C"/>
    <w:rsid w:val="00401981"/>
    <w:rsid w:val="00401A59"/>
    <w:rsid w:val="00401D24"/>
    <w:rsid w:val="00401E47"/>
    <w:rsid w:val="00401F16"/>
    <w:rsid w:val="00401F48"/>
    <w:rsid w:val="00401F5A"/>
    <w:rsid w:val="00401F6C"/>
    <w:rsid w:val="004020A8"/>
    <w:rsid w:val="004020DA"/>
    <w:rsid w:val="0040213C"/>
    <w:rsid w:val="004021DD"/>
    <w:rsid w:val="004021F7"/>
    <w:rsid w:val="00402217"/>
    <w:rsid w:val="004028A2"/>
    <w:rsid w:val="00402925"/>
    <w:rsid w:val="00402C19"/>
    <w:rsid w:val="00402D00"/>
    <w:rsid w:val="00402E58"/>
    <w:rsid w:val="00403202"/>
    <w:rsid w:val="0040353A"/>
    <w:rsid w:val="004037F7"/>
    <w:rsid w:val="00403ABE"/>
    <w:rsid w:val="00403B2F"/>
    <w:rsid w:val="00403C38"/>
    <w:rsid w:val="00403D9B"/>
    <w:rsid w:val="00403DBE"/>
    <w:rsid w:val="0040401C"/>
    <w:rsid w:val="0040425A"/>
    <w:rsid w:val="004047A3"/>
    <w:rsid w:val="00404BC8"/>
    <w:rsid w:val="00404BF7"/>
    <w:rsid w:val="00404DA8"/>
    <w:rsid w:val="00404EBB"/>
    <w:rsid w:val="00404F98"/>
    <w:rsid w:val="00405452"/>
    <w:rsid w:val="00405A3A"/>
    <w:rsid w:val="00405AB9"/>
    <w:rsid w:val="00405CEC"/>
    <w:rsid w:val="00406350"/>
    <w:rsid w:val="00406E4D"/>
    <w:rsid w:val="00406E79"/>
    <w:rsid w:val="00406E9A"/>
    <w:rsid w:val="004070D8"/>
    <w:rsid w:val="0040721A"/>
    <w:rsid w:val="004072C4"/>
    <w:rsid w:val="004072C7"/>
    <w:rsid w:val="00407463"/>
    <w:rsid w:val="0040756B"/>
    <w:rsid w:val="00407622"/>
    <w:rsid w:val="00407892"/>
    <w:rsid w:val="004078D0"/>
    <w:rsid w:val="00407BA2"/>
    <w:rsid w:val="00407FEE"/>
    <w:rsid w:val="0041052B"/>
    <w:rsid w:val="0041074F"/>
    <w:rsid w:val="004108A5"/>
    <w:rsid w:val="004108D5"/>
    <w:rsid w:val="004109C7"/>
    <w:rsid w:val="00410F17"/>
    <w:rsid w:val="00411084"/>
    <w:rsid w:val="004111ED"/>
    <w:rsid w:val="00411344"/>
    <w:rsid w:val="004113C1"/>
    <w:rsid w:val="00411413"/>
    <w:rsid w:val="004114D4"/>
    <w:rsid w:val="0041168C"/>
    <w:rsid w:val="0041172D"/>
    <w:rsid w:val="0041186A"/>
    <w:rsid w:val="0041188A"/>
    <w:rsid w:val="00411B1A"/>
    <w:rsid w:val="00411BAF"/>
    <w:rsid w:val="00411D14"/>
    <w:rsid w:val="00411E00"/>
    <w:rsid w:val="00411FB7"/>
    <w:rsid w:val="004123D5"/>
    <w:rsid w:val="00412446"/>
    <w:rsid w:val="00412577"/>
    <w:rsid w:val="00412583"/>
    <w:rsid w:val="00412736"/>
    <w:rsid w:val="00412A42"/>
    <w:rsid w:val="00412A49"/>
    <w:rsid w:val="00412BC6"/>
    <w:rsid w:val="00412D36"/>
    <w:rsid w:val="00412DFE"/>
    <w:rsid w:val="00412F8A"/>
    <w:rsid w:val="004130FB"/>
    <w:rsid w:val="004136DA"/>
    <w:rsid w:val="00413732"/>
    <w:rsid w:val="00413786"/>
    <w:rsid w:val="00413BB7"/>
    <w:rsid w:val="00413D3F"/>
    <w:rsid w:val="004144FE"/>
    <w:rsid w:val="00414594"/>
    <w:rsid w:val="00414630"/>
    <w:rsid w:val="004149C6"/>
    <w:rsid w:val="00414D8A"/>
    <w:rsid w:val="00414DDB"/>
    <w:rsid w:val="00414EAF"/>
    <w:rsid w:val="00415005"/>
    <w:rsid w:val="004150DE"/>
    <w:rsid w:val="004152A7"/>
    <w:rsid w:val="004153B0"/>
    <w:rsid w:val="00415618"/>
    <w:rsid w:val="00415AED"/>
    <w:rsid w:val="00415BBB"/>
    <w:rsid w:val="00415BDD"/>
    <w:rsid w:val="00415CC9"/>
    <w:rsid w:val="00416194"/>
    <w:rsid w:val="004164C8"/>
    <w:rsid w:val="0041652E"/>
    <w:rsid w:val="00416792"/>
    <w:rsid w:val="004167DD"/>
    <w:rsid w:val="00416952"/>
    <w:rsid w:val="00416B6F"/>
    <w:rsid w:val="00416D25"/>
    <w:rsid w:val="00416D4C"/>
    <w:rsid w:val="00416F64"/>
    <w:rsid w:val="00416FFD"/>
    <w:rsid w:val="00417549"/>
    <w:rsid w:val="004176C6"/>
    <w:rsid w:val="00417771"/>
    <w:rsid w:val="00417832"/>
    <w:rsid w:val="00417877"/>
    <w:rsid w:val="00417895"/>
    <w:rsid w:val="00417AF7"/>
    <w:rsid w:val="00417B54"/>
    <w:rsid w:val="00417B60"/>
    <w:rsid w:val="00417C3C"/>
    <w:rsid w:val="00417D6D"/>
    <w:rsid w:val="00420635"/>
    <w:rsid w:val="00420888"/>
    <w:rsid w:val="004208FA"/>
    <w:rsid w:val="00420AB3"/>
    <w:rsid w:val="00420CF5"/>
    <w:rsid w:val="00420E89"/>
    <w:rsid w:val="00420F60"/>
    <w:rsid w:val="004213EB"/>
    <w:rsid w:val="004214B8"/>
    <w:rsid w:val="00421710"/>
    <w:rsid w:val="00421791"/>
    <w:rsid w:val="0042182A"/>
    <w:rsid w:val="00421987"/>
    <w:rsid w:val="0042213A"/>
    <w:rsid w:val="004221C2"/>
    <w:rsid w:val="00422273"/>
    <w:rsid w:val="0042235E"/>
    <w:rsid w:val="00422651"/>
    <w:rsid w:val="00422670"/>
    <w:rsid w:val="004228C5"/>
    <w:rsid w:val="00422AE9"/>
    <w:rsid w:val="00422AF9"/>
    <w:rsid w:val="00422DCE"/>
    <w:rsid w:val="00422EBE"/>
    <w:rsid w:val="00423053"/>
    <w:rsid w:val="00423075"/>
    <w:rsid w:val="00423086"/>
    <w:rsid w:val="0042309B"/>
    <w:rsid w:val="004230BD"/>
    <w:rsid w:val="004231EC"/>
    <w:rsid w:val="004232B9"/>
    <w:rsid w:val="00423423"/>
    <w:rsid w:val="00423434"/>
    <w:rsid w:val="00423660"/>
    <w:rsid w:val="00423762"/>
    <w:rsid w:val="00423CA4"/>
    <w:rsid w:val="00423D9A"/>
    <w:rsid w:val="00423F4A"/>
    <w:rsid w:val="00423F7A"/>
    <w:rsid w:val="00423FAF"/>
    <w:rsid w:val="00424109"/>
    <w:rsid w:val="00424207"/>
    <w:rsid w:val="004245FC"/>
    <w:rsid w:val="0042463F"/>
    <w:rsid w:val="004246FB"/>
    <w:rsid w:val="004247AD"/>
    <w:rsid w:val="0042482D"/>
    <w:rsid w:val="00424881"/>
    <w:rsid w:val="00424A22"/>
    <w:rsid w:val="00424BD1"/>
    <w:rsid w:val="004252C0"/>
    <w:rsid w:val="004252F1"/>
    <w:rsid w:val="004256CF"/>
    <w:rsid w:val="0042577D"/>
    <w:rsid w:val="00425A8F"/>
    <w:rsid w:val="00425BEA"/>
    <w:rsid w:val="00425BFD"/>
    <w:rsid w:val="00426088"/>
    <w:rsid w:val="00426174"/>
    <w:rsid w:val="0042621D"/>
    <w:rsid w:val="00426324"/>
    <w:rsid w:val="00426425"/>
    <w:rsid w:val="00426684"/>
    <w:rsid w:val="00426723"/>
    <w:rsid w:val="00426A13"/>
    <w:rsid w:val="00426A2B"/>
    <w:rsid w:val="00426A84"/>
    <w:rsid w:val="00426BBD"/>
    <w:rsid w:val="00426C13"/>
    <w:rsid w:val="00426D6B"/>
    <w:rsid w:val="00426E82"/>
    <w:rsid w:val="00426F9C"/>
    <w:rsid w:val="00427033"/>
    <w:rsid w:val="00427160"/>
    <w:rsid w:val="00427178"/>
    <w:rsid w:val="004271A2"/>
    <w:rsid w:val="00427211"/>
    <w:rsid w:val="00427345"/>
    <w:rsid w:val="004275BC"/>
    <w:rsid w:val="004277ED"/>
    <w:rsid w:val="00427906"/>
    <w:rsid w:val="00427933"/>
    <w:rsid w:val="00427A77"/>
    <w:rsid w:val="004303B9"/>
    <w:rsid w:val="00430491"/>
    <w:rsid w:val="004305DD"/>
    <w:rsid w:val="004307CC"/>
    <w:rsid w:val="00430A84"/>
    <w:rsid w:val="00430F82"/>
    <w:rsid w:val="00431213"/>
    <w:rsid w:val="004312D0"/>
    <w:rsid w:val="00431405"/>
    <w:rsid w:val="004317DF"/>
    <w:rsid w:val="0043181A"/>
    <w:rsid w:val="004318C3"/>
    <w:rsid w:val="00431A11"/>
    <w:rsid w:val="00431A51"/>
    <w:rsid w:val="00431DDB"/>
    <w:rsid w:val="00432091"/>
    <w:rsid w:val="00432211"/>
    <w:rsid w:val="0043225D"/>
    <w:rsid w:val="0043235A"/>
    <w:rsid w:val="00432432"/>
    <w:rsid w:val="00432435"/>
    <w:rsid w:val="004329DF"/>
    <w:rsid w:val="00432B33"/>
    <w:rsid w:val="00432BB5"/>
    <w:rsid w:val="00432C05"/>
    <w:rsid w:val="00432D6C"/>
    <w:rsid w:val="0043308B"/>
    <w:rsid w:val="004330B7"/>
    <w:rsid w:val="0043337B"/>
    <w:rsid w:val="004334AA"/>
    <w:rsid w:val="0043354D"/>
    <w:rsid w:val="00433571"/>
    <w:rsid w:val="0043358E"/>
    <w:rsid w:val="00433729"/>
    <w:rsid w:val="00433936"/>
    <w:rsid w:val="004339E7"/>
    <w:rsid w:val="00433AAD"/>
    <w:rsid w:val="00433B35"/>
    <w:rsid w:val="00433B9A"/>
    <w:rsid w:val="00433CD9"/>
    <w:rsid w:val="00433F3E"/>
    <w:rsid w:val="0043428B"/>
    <w:rsid w:val="00434305"/>
    <w:rsid w:val="004343DB"/>
    <w:rsid w:val="00434552"/>
    <w:rsid w:val="00434851"/>
    <w:rsid w:val="0043489A"/>
    <w:rsid w:val="00434A00"/>
    <w:rsid w:val="00434B81"/>
    <w:rsid w:val="00434D10"/>
    <w:rsid w:val="00434DB7"/>
    <w:rsid w:val="004351E5"/>
    <w:rsid w:val="0043538A"/>
    <w:rsid w:val="004353EE"/>
    <w:rsid w:val="0043552F"/>
    <w:rsid w:val="00435586"/>
    <w:rsid w:val="00435742"/>
    <w:rsid w:val="00435924"/>
    <w:rsid w:val="004359CB"/>
    <w:rsid w:val="0043611D"/>
    <w:rsid w:val="00436145"/>
    <w:rsid w:val="004362C6"/>
    <w:rsid w:val="00436729"/>
    <w:rsid w:val="0043687B"/>
    <w:rsid w:val="00436902"/>
    <w:rsid w:val="00436B2C"/>
    <w:rsid w:val="00436BBF"/>
    <w:rsid w:val="00436DE7"/>
    <w:rsid w:val="00436EBD"/>
    <w:rsid w:val="004371DD"/>
    <w:rsid w:val="00437391"/>
    <w:rsid w:val="00437470"/>
    <w:rsid w:val="004374E6"/>
    <w:rsid w:val="0043779C"/>
    <w:rsid w:val="004378BB"/>
    <w:rsid w:val="0043796B"/>
    <w:rsid w:val="00437BFB"/>
    <w:rsid w:val="00437C43"/>
    <w:rsid w:val="00437D2A"/>
    <w:rsid w:val="00437E64"/>
    <w:rsid w:val="004400DA"/>
    <w:rsid w:val="00440185"/>
    <w:rsid w:val="004407B1"/>
    <w:rsid w:val="004407E0"/>
    <w:rsid w:val="00440D48"/>
    <w:rsid w:val="00440EF1"/>
    <w:rsid w:val="00440F6B"/>
    <w:rsid w:val="00440FE5"/>
    <w:rsid w:val="0044101B"/>
    <w:rsid w:val="00441021"/>
    <w:rsid w:val="004411D8"/>
    <w:rsid w:val="00441847"/>
    <w:rsid w:val="004418D2"/>
    <w:rsid w:val="00441919"/>
    <w:rsid w:val="0044192C"/>
    <w:rsid w:val="00441B79"/>
    <w:rsid w:val="00441B8B"/>
    <w:rsid w:val="00441BCC"/>
    <w:rsid w:val="00441CF0"/>
    <w:rsid w:val="00441FB6"/>
    <w:rsid w:val="0044204B"/>
    <w:rsid w:val="00442098"/>
    <w:rsid w:val="004423F8"/>
    <w:rsid w:val="0044264A"/>
    <w:rsid w:val="00442832"/>
    <w:rsid w:val="004429FE"/>
    <w:rsid w:val="00442CD7"/>
    <w:rsid w:val="00442E95"/>
    <w:rsid w:val="00442F1E"/>
    <w:rsid w:val="00442F8C"/>
    <w:rsid w:val="00442FFE"/>
    <w:rsid w:val="0044327A"/>
    <w:rsid w:val="00443522"/>
    <w:rsid w:val="0044363E"/>
    <w:rsid w:val="00443710"/>
    <w:rsid w:val="00443830"/>
    <w:rsid w:val="00443D43"/>
    <w:rsid w:val="00444039"/>
    <w:rsid w:val="0044454B"/>
    <w:rsid w:val="00444648"/>
    <w:rsid w:val="0044472D"/>
    <w:rsid w:val="00444933"/>
    <w:rsid w:val="00444A45"/>
    <w:rsid w:val="00444FFE"/>
    <w:rsid w:val="004452B8"/>
    <w:rsid w:val="004454A2"/>
    <w:rsid w:val="004455D7"/>
    <w:rsid w:val="00445796"/>
    <w:rsid w:val="0044581E"/>
    <w:rsid w:val="00445BA3"/>
    <w:rsid w:val="00445CF9"/>
    <w:rsid w:val="00445DCB"/>
    <w:rsid w:val="0044612C"/>
    <w:rsid w:val="00446319"/>
    <w:rsid w:val="004463E7"/>
    <w:rsid w:val="0044662F"/>
    <w:rsid w:val="00446803"/>
    <w:rsid w:val="00446819"/>
    <w:rsid w:val="00446A7B"/>
    <w:rsid w:val="00446C8A"/>
    <w:rsid w:val="00446D7F"/>
    <w:rsid w:val="00446F13"/>
    <w:rsid w:val="0044742A"/>
    <w:rsid w:val="004474FE"/>
    <w:rsid w:val="00447897"/>
    <w:rsid w:val="004478FD"/>
    <w:rsid w:val="00447907"/>
    <w:rsid w:val="00447B02"/>
    <w:rsid w:val="00447B10"/>
    <w:rsid w:val="00447FC4"/>
    <w:rsid w:val="004500CC"/>
    <w:rsid w:val="00450149"/>
    <w:rsid w:val="004501BB"/>
    <w:rsid w:val="004501D9"/>
    <w:rsid w:val="00450254"/>
    <w:rsid w:val="0045025C"/>
    <w:rsid w:val="00450328"/>
    <w:rsid w:val="004503E1"/>
    <w:rsid w:val="004504A5"/>
    <w:rsid w:val="0045090F"/>
    <w:rsid w:val="00450D5F"/>
    <w:rsid w:val="00450DA8"/>
    <w:rsid w:val="00450F40"/>
    <w:rsid w:val="00451381"/>
    <w:rsid w:val="004517C0"/>
    <w:rsid w:val="00451835"/>
    <w:rsid w:val="00451963"/>
    <w:rsid w:val="00451A6E"/>
    <w:rsid w:val="00451D66"/>
    <w:rsid w:val="00451E9A"/>
    <w:rsid w:val="00452144"/>
    <w:rsid w:val="004521A4"/>
    <w:rsid w:val="00452238"/>
    <w:rsid w:val="00452265"/>
    <w:rsid w:val="00452678"/>
    <w:rsid w:val="0045286B"/>
    <w:rsid w:val="00452F9F"/>
    <w:rsid w:val="004532AA"/>
    <w:rsid w:val="00453546"/>
    <w:rsid w:val="00453584"/>
    <w:rsid w:val="0045358B"/>
    <w:rsid w:val="004535D3"/>
    <w:rsid w:val="0045377D"/>
    <w:rsid w:val="00453787"/>
    <w:rsid w:val="004537BE"/>
    <w:rsid w:val="00453868"/>
    <w:rsid w:val="00453ADB"/>
    <w:rsid w:val="00453B60"/>
    <w:rsid w:val="00453C09"/>
    <w:rsid w:val="00453C29"/>
    <w:rsid w:val="00454365"/>
    <w:rsid w:val="0045446B"/>
    <w:rsid w:val="004545D6"/>
    <w:rsid w:val="0045460F"/>
    <w:rsid w:val="004548FA"/>
    <w:rsid w:val="00454B04"/>
    <w:rsid w:val="00454B14"/>
    <w:rsid w:val="00454C20"/>
    <w:rsid w:val="00454D2F"/>
    <w:rsid w:val="00454F56"/>
    <w:rsid w:val="00454FD7"/>
    <w:rsid w:val="00455757"/>
    <w:rsid w:val="004557A5"/>
    <w:rsid w:val="004557BD"/>
    <w:rsid w:val="00455830"/>
    <w:rsid w:val="0045588F"/>
    <w:rsid w:val="00455A33"/>
    <w:rsid w:val="00455CF4"/>
    <w:rsid w:val="00456032"/>
    <w:rsid w:val="004560F7"/>
    <w:rsid w:val="00456557"/>
    <w:rsid w:val="00456C0F"/>
    <w:rsid w:val="00456D4D"/>
    <w:rsid w:val="00456F54"/>
    <w:rsid w:val="004570A9"/>
    <w:rsid w:val="00457129"/>
    <w:rsid w:val="0045728C"/>
    <w:rsid w:val="004572FF"/>
    <w:rsid w:val="004575CF"/>
    <w:rsid w:val="0045763C"/>
    <w:rsid w:val="004576BC"/>
    <w:rsid w:val="004576CF"/>
    <w:rsid w:val="004577E9"/>
    <w:rsid w:val="00457B2A"/>
    <w:rsid w:val="00457C65"/>
    <w:rsid w:val="00457CD4"/>
    <w:rsid w:val="00457EC7"/>
    <w:rsid w:val="00457F42"/>
    <w:rsid w:val="00457F72"/>
    <w:rsid w:val="00457F87"/>
    <w:rsid w:val="00460284"/>
    <w:rsid w:val="004602AB"/>
    <w:rsid w:val="0046034C"/>
    <w:rsid w:val="00460460"/>
    <w:rsid w:val="0046067B"/>
    <w:rsid w:val="0046084D"/>
    <w:rsid w:val="0046088C"/>
    <w:rsid w:val="00461319"/>
    <w:rsid w:val="00461422"/>
    <w:rsid w:val="0046152D"/>
    <w:rsid w:val="00461653"/>
    <w:rsid w:val="0046177E"/>
    <w:rsid w:val="004619D2"/>
    <w:rsid w:val="00461BD0"/>
    <w:rsid w:val="00461E3F"/>
    <w:rsid w:val="00461E58"/>
    <w:rsid w:val="0046212F"/>
    <w:rsid w:val="004621E2"/>
    <w:rsid w:val="004627F3"/>
    <w:rsid w:val="00462A9E"/>
    <w:rsid w:val="00462BDD"/>
    <w:rsid w:val="00462E3F"/>
    <w:rsid w:val="004630D7"/>
    <w:rsid w:val="00463112"/>
    <w:rsid w:val="0046315E"/>
    <w:rsid w:val="00463243"/>
    <w:rsid w:val="00463244"/>
    <w:rsid w:val="00463315"/>
    <w:rsid w:val="0046349C"/>
    <w:rsid w:val="004635D9"/>
    <w:rsid w:val="00463667"/>
    <w:rsid w:val="004636CB"/>
    <w:rsid w:val="004636FA"/>
    <w:rsid w:val="0046373D"/>
    <w:rsid w:val="00463E54"/>
    <w:rsid w:val="00464092"/>
    <w:rsid w:val="004644A0"/>
    <w:rsid w:val="00464577"/>
    <w:rsid w:val="00464AF9"/>
    <w:rsid w:val="00464B04"/>
    <w:rsid w:val="00464BC8"/>
    <w:rsid w:val="00464E5B"/>
    <w:rsid w:val="00464EBF"/>
    <w:rsid w:val="00464EE8"/>
    <w:rsid w:val="00464FE8"/>
    <w:rsid w:val="004651DB"/>
    <w:rsid w:val="00465230"/>
    <w:rsid w:val="004652A5"/>
    <w:rsid w:val="0046578B"/>
    <w:rsid w:val="0046582A"/>
    <w:rsid w:val="00465AD0"/>
    <w:rsid w:val="00465D98"/>
    <w:rsid w:val="004661F9"/>
    <w:rsid w:val="00466281"/>
    <w:rsid w:val="004663CB"/>
    <w:rsid w:val="00466415"/>
    <w:rsid w:val="0046649C"/>
    <w:rsid w:val="00466651"/>
    <w:rsid w:val="0046665A"/>
    <w:rsid w:val="004666D3"/>
    <w:rsid w:val="00466728"/>
    <w:rsid w:val="0046684E"/>
    <w:rsid w:val="00466856"/>
    <w:rsid w:val="0046689E"/>
    <w:rsid w:val="00466990"/>
    <w:rsid w:val="00466A5F"/>
    <w:rsid w:val="00466C6C"/>
    <w:rsid w:val="00466CDE"/>
    <w:rsid w:val="00466D69"/>
    <w:rsid w:val="00466DAE"/>
    <w:rsid w:val="00466DE7"/>
    <w:rsid w:val="00467112"/>
    <w:rsid w:val="004671BE"/>
    <w:rsid w:val="0046726D"/>
    <w:rsid w:val="004672FE"/>
    <w:rsid w:val="004673DB"/>
    <w:rsid w:val="00467654"/>
    <w:rsid w:val="004676C4"/>
    <w:rsid w:val="00467851"/>
    <w:rsid w:val="004678E1"/>
    <w:rsid w:val="004679C5"/>
    <w:rsid w:val="00467AA3"/>
    <w:rsid w:val="00467AC4"/>
    <w:rsid w:val="00467B3F"/>
    <w:rsid w:val="00467C2B"/>
    <w:rsid w:val="00467D53"/>
    <w:rsid w:val="00467EEF"/>
    <w:rsid w:val="00470227"/>
    <w:rsid w:val="004702BB"/>
    <w:rsid w:val="004703A6"/>
    <w:rsid w:val="004709E3"/>
    <w:rsid w:val="00470C4F"/>
    <w:rsid w:val="00470DB9"/>
    <w:rsid w:val="00470E70"/>
    <w:rsid w:val="00470FBE"/>
    <w:rsid w:val="004710E3"/>
    <w:rsid w:val="0047136D"/>
    <w:rsid w:val="00471486"/>
    <w:rsid w:val="00471686"/>
    <w:rsid w:val="00471708"/>
    <w:rsid w:val="00471801"/>
    <w:rsid w:val="004718C5"/>
    <w:rsid w:val="00471B07"/>
    <w:rsid w:val="004724CF"/>
    <w:rsid w:val="00472596"/>
    <w:rsid w:val="0047263D"/>
    <w:rsid w:val="00472665"/>
    <w:rsid w:val="00472785"/>
    <w:rsid w:val="00472875"/>
    <w:rsid w:val="00472AC9"/>
    <w:rsid w:val="00472C56"/>
    <w:rsid w:val="00472D64"/>
    <w:rsid w:val="00472E52"/>
    <w:rsid w:val="00473075"/>
    <w:rsid w:val="00473229"/>
    <w:rsid w:val="00473530"/>
    <w:rsid w:val="0047354C"/>
    <w:rsid w:val="00473A63"/>
    <w:rsid w:val="00473A90"/>
    <w:rsid w:val="00473B6F"/>
    <w:rsid w:val="00473B9D"/>
    <w:rsid w:val="00473BD3"/>
    <w:rsid w:val="00473C02"/>
    <w:rsid w:val="00473D4A"/>
    <w:rsid w:val="00473DF7"/>
    <w:rsid w:val="00473E02"/>
    <w:rsid w:val="00473E03"/>
    <w:rsid w:val="00474176"/>
    <w:rsid w:val="0047453B"/>
    <w:rsid w:val="00474554"/>
    <w:rsid w:val="00474660"/>
    <w:rsid w:val="00474782"/>
    <w:rsid w:val="004747D6"/>
    <w:rsid w:val="004748A5"/>
    <w:rsid w:val="00474A5B"/>
    <w:rsid w:val="00474B9D"/>
    <w:rsid w:val="00474CD7"/>
    <w:rsid w:val="004752BA"/>
    <w:rsid w:val="004753B4"/>
    <w:rsid w:val="0047543F"/>
    <w:rsid w:val="0047547D"/>
    <w:rsid w:val="0047551B"/>
    <w:rsid w:val="004757AE"/>
    <w:rsid w:val="00475864"/>
    <w:rsid w:val="00475C69"/>
    <w:rsid w:val="00475D16"/>
    <w:rsid w:val="00475D2C"/>
    <w:rsid w:val="00475D91"/>
    <w:rsid w:val="00475EB3"/>
    <w:rsid w:val="00475F70"/>
    <w:rsid w:val="00476110"/>
    <w:rsid w:val="00476126"/>
    <w:rsid w:val="004761AA"/>
    <w:rsid w:val="004761DA"/>
    <w:rsid w:val="004761F2"/>
    <w:rsid w:val="004762AC"/>
    <w:rsid w:val="0047652B"/>
    <w:rsid w:val="00476536"/>
    <w:rsid w:val="00476550"/>
    <w:rsid w:val="004766A7"/>
    <w:rsid w:val="0047681A"/>
    <w:rsid w:val="00476A12"/>
    <w:rsid w:val="00476F4D"/>
    <w:rsid w:val="0047704B"/>
    <w:rsid w:val="00477050"/>
    <w:rsid w:val="00477189"/>
    <w:rsid w:val="00477352"/>
    <w:rsid w:val="0047741A"/>
    <w:rsid w:val="00477576"/>
    <w:rsid w:val="00477597"/>
    <w:rsid w:val="00477897"/>
    <w:rsid w:val="004778E5"/>
    <w:rsid w:val="004778FB"/>
    <w:rsid w:val="00477BA9"/>
    <w:rsid w:val="00477BDC"/>
    <w:rsid w:val="00477D1A"/>
    <w:rsid w:val="00477D48"/>
    <w:rsid w:val="00477DEA"/>
    <w:rsid w:val="0048008D"/>
    <w:rsid w:val="004801E6"/>
    <w:rsid w:val="004802C4"/>
    <w:rsid w:val="00480339"/>
    <w:rsid w:val="00480395"/>
    <w:rsid w:val="004805BC"/>
    <w:rsid w:val="00480614"/>
    <w:rsid w:val="0048070A"/>
    <w:rsid w:val="00480888"/>
    <w:rsid w:val="004808FE"/>
    <w:rsid w:val="00480930"/>
    <w:rsid w:val="00480BD3"/>
    <w:rsid w:val="00480DB2"/>
    <w:rsid w:val="00480DC9"/>
    <w:rsid w:val="00480ED0"/>
    <w:rsid w:val="0048119D"/>
    <w:rsid w:val="00481387"/>
    <w:rsid w:val="004817A6"/>
    <w:rsid w:val="00481828"/>
    <w:rsid w:val="004818F8"/>
    <w:rsid w:val="0048198A"/>
    <w:rsid w:val="004819FD"/>
    <w:rsid w:val="00481AD2"/>
    <w:rsid w:val="00481B84"/>
    <w:rsid w:val="00481CB0"/>
    <w:rsid w:val="00481D26"/>
    <w:rsid w:val="00481EF4"/>
    <w:rsid w:val="00482408"/>
    <w:rsid w:val="0048258D"/>
    <w:rsid w:val="004827C2"/>
    <w:rsid w:val="00482DED"/>
    <w:rsid w:val="00482E54"/>
    <w:rsid w:val="00483073"/>
    <w:rsid w:val="0048348B"/>
    <w:rsid w:val="004834BC"/>
    <w:rsid w:val="004835C1"/>
    <w:rsid w:val="0048375C"/>
    <w:rsid w:val="00483D4F"/>
    <w:rsid w:val="00483FC1"/>
    <w:rsid w:val="00484357"/>
    <w:rsid w:val="0048474C"/>
    <w:rsid w:val="00484912"/>
    <w:rsid w:val="0048498E"/>
    <w:rsid w:val="00484A3E"/>
    <w:rsid w:val="00484B33"/>
    <w:rsid w:val="00484BD7"/>
    <w:rsid w:val="00484CE8"/>
    <w:rsid w:val="00484EAB"/>
    <w:rsid w:val="00484ECF"/>
    <w:rsid w:val="004855C3"/>
    <w:rsid w:val="004857F2"/>
    <w:rsid w:val="00485862"/>
    <w:rsid w:val="00485A1A"/>
    <w:rsid w:val="00485A70"/>
    <w:rsid w:val="00485B98"/>
    <w:rsid w:val="00485BB4"/>
    <w:rsid w:val="00485D4F"/>
    <w:rsid w:val="00485E83"/>
    <w:rsid w:val="00485E89"/>
    <w:rsid w:val="00486089"/>
    <w:rsid w:val="0048612B"/>
    <w:rsid w:val="00486198"/>
    <w:rsid w:val="0048631C"/>
    <w:rsid w:val="0048637E"/>
    <w:rsid w:val="004864E7"/>
    <w:rsid w:val="00486571"/>
    <w:rsid w:val="004866DB"/>
    <w:rsid w:val="0048674A"/>
    <w:rsid w:val="004869D9"/>
    <w:rsid w:val="00486B05"/>
    <w:rsid w:val="00486B5E"/>
    <w:rsid w:val="00486D56"/>
    <w:rsid w:val="004870FF"/>
    <w:rsid w:val="00487195"/>
    <w:rsid w:val="004874B1"/>
    <w:rsid w:val="004876E7"/>
    <w:rsid w:val="004877F6"/>
    <w:rsid w:val="00487975"/>
    <w:rsid w:val="00487BE2"/>
    <w:rsid w:val="00487C1E"/>
    <w:rsid w:val="00490045"/>
    <w:rsid w:val="00490363"/>
    <w:rsid w:val="004904D9"/>
    <w:rsid w:val="004906F8"/>
    <w:rsid w:val="00490733"/>
    <w:rsid w:val="00490828"/>
    <w:rsid w:val="004908CE"/>
    <w:rsid w:val="004909BA"/>
    <w:rsid w:val="00490B5F"/>
    <w:rsid w:val="00490B9C"/>
    <w:rsid w:val="00490C20"/>
    <w:rsid w:val="00490C4F"/>
    <w:rsid w:val="00490CB5"/>
    <w:rsid w:val="00490D92"/>
    <w:rsid w:val="00490F03"/>
    <w:rsid w:val="00491085"/>
    <w:rsid w:val="004910DB"/>
    <w:rsid w:val="0049110F"/>
    <w:rsid w:val="004911FE"/>
    <w:rsid w:val="004915B1"/>
    <w:rsid w:val="0049183C"/>
    <w:rsid w:val="0049184C"/>
    <w:rsid w:val="00491C0A"/>
    <w:rsid w:val="00491CC7"/>
    <w:rsid w:val="00491E27"/>
    <w:rsid w:val="00492094"/>
    <w:rsid w:val="004923EC"/>
    <w:rsid w:val="004925AB"/>
    <w:rsid w:val="004927AD"/>
    <w:rsid w:val="00492CBA"/>
    <w:rsid w:val="0049303D"/>
    <w:rsid w:val="004931A3"/>
    <w:rsid w:val="00493449"/>
    <w:rsid w:val="004937D8"/>
    <w:rsid w:val="0049383B"/>
    <w:rsid w:val="00493CC4"/>
    <w:rsid w:val="0049495E"/>
    <w:rsid w:val="004949C5"/>
    <w:rsid w:val="00494C37"/>
    <w:rsid w:val="00494C97"/>
    <w:rsid w:val="00494ECC"/>
    <w:rsid w:val="00495012"/>
    <w:rsid w:val="00495117"/>
    <w:rsid w:val="00495711"/>
    <w:rsid w:val="00495805"/>
    <w:rsid w:val="004959BE"/>
    <w:rsid w:val="00495ADE"/>
    <w:rsid w:val="00496540"/>
    <w:rsid w:val="00496657"/>
    <w:rsid w:val="004966DE"/>
    <w:rsid w:val="00496BAC"/>
    <w:rsid w:val="00497199"/>
    <w:rsid w:val="004971E2"/>
    <w:rsid w:val="00497311"/>
    <w:rsid w:val="00497515"/>
    <w:rsid w:val="00497612"/>
    <w:rsid w:val="004979FB"/>
    <w:rsid w:val="00497AB1"/>
    <w:rsid w:val="00497CAE"/>
    <w:rsid w:val="00497D76"/>
    <w:rsid w:val="00497EB0"/>
    <w:rsid w:val="004A0280"/>
    <w:rsid w:val="004A02F0"/>
    <w:rsid w:val="004A04B3"/>
    <w:rsid w:val="004A04BF"/>
    <w:rsid w:val="004A072A"/>
    <w:rsid w:val="004A076F"/>
    <w:rsid w:val="004A0A9C"/>
    <w:rsid w:val="004A0E92"/>
    <w:rsid w:val="004A0F60"/>
    <w:rsid w:val="004A0FD5"/>
    <w:rsid w:val="004A108E"/>
    <w:rsid w:val="004A1186"/>
    <w:rsid w:val="004A11C3"/>
    <w:rsid w:val="004A13A0"/>
    <w:rsid w:val="004A14A9"/>
    <w:rsid w:val="004A16D6"/>
    <w:rsid w:val="004A1732"/>
    <w:rsid w:val="004A1783"/>
    <w:rsid w:val="004A17B9"/>
    <w:rsid w:val="004A19A9"/>
    <w:rsid w:val="004A1EDB"/>
    <w:rsid w:val="004A2054"/>
    <w:rsid w:val="004A2438"/>
    <w:rsid w:val="004A2628"/>
    <w:rsid w:val="004A27B3"/>
    <w:rsid w:val="004A2870"/>
    <w:rsid w:val="004A28FA"/>
    <w:rsid w:val="004A28FE"/>
    <w:rsid w:val="004A2ECD"/>
    <w:rsid w:val="004A2F9D"/>
    <w:rsid w:val="004A3028"/>
    <w:rsid w:val="004A3159"/>
    <w:rsid w:val="004A3338"/>
    <w:rsid w:val="004A33C7"/>
    <w:rsid w:val="004A3DB9"/>
    <w:rsid w:val="004A3EDD"/>
    <w:rsid w:val="004A4067"/>
    <w:rsid w:val="004A45BC"/>
    <w:rsid w:val="004A4632"/>
    <w:rsid w:val="004A46A8"/>
    <w:rsid w:val="004A47CD"/>
    <w:rsid w:val="004A47F4"/>
    <w:rsid w:val="004A4892"/>
    <w:rsid w:val="004A49AC"/>
    <w:rsid w:val="004A4B14"/>
    <w:rsid w:val="004A4D0B"/>
    <w:rsid w:val="004A4DD6"/>
    <w:rsid w:val="004A4E19"/>
    <w:rsid w:val="004A4E6A"/>
    <w:rsid w:val="004A51A2"/>
    <w:rsid w:val="004A51E5"/>
    <w:rsid w:val="004A51EB"/>
    <w:rsid w:val="004A5672"/>
    <w:rsid w:val="004A574D"/>
    <w:rsid w:val="004A5764"/>
    <w:rsid w:val="004A5829"/>
    <w:rsid w:val="004A5A1E"/>
    <w:rsid w:val="004A5C4E"/>
    <w:rsid w:val="004A5E77"/>
    <w:rsid w:val="004A614F"/>
    <w:rsid w:val="004A6458"/>
    <w:rsid w:val="004A6660"/>
    <w:rsid w:val="004A66B6"/>
    <w:rsid w:val="004A68CB"/>
    <w:rsid w:val="004A6985"/>
    <w:rsid w:val="004A6A8E"/>
    <w:rsid w:val="004A6ACC"/>
    <w:rsid w:val="004A6B1F"/>
    <w:rsid w:val="004A6D06"/>
    <w:rsid w:val="004A6DE5"/>
    <w:rsid w:val="004A6DEB"/>
    <w:rsid w:val="004A6FE7"/>
    <w:rsid w:val="004A71FD"/>
    <w:rsid w:val="004A7223"/>
    <w:rsid w:val="004A731A"/>
    <w:rsid w:val="004A7438"/>
    <w:rsid w:val="004A7512"/>
    <w:rsid w:val="004A766D"/>
    <w:rsid w:val="004A78B8"/>
    <w:rsid w:val="004A794F"/>
    <w:rsid w:val="004A795D"/>
    <w:rsid w:val="004A7A73"/>
    <w:rsid w:val="004A7A9A"/>
    <w:rsid w:val="004A7AEB"/>
    <w:rsid w:val="004A7F9E"/>
    <w:rsid w:val="004A7FDF"/>
    <w:rsid w:val="004B02D9"/>
    <w:rsid w:val="004B0345"/>
    <w:rsid w:val="004B0A1A"/>
    <w:rsid w:val="004B0A6E"/>
    <w:rsid w:val="004B0B2D"/>
    <w:rsid w:val="004B0B63"/>
    <w:rsid w:val="004B0C90"/>
    <w:rsid w:val="004B0D92"/>
    <w:rsid w:val="004B0F21"/>
    <w:rsid w:val="004B11DD"/>
    <w:rsid w:val="004B15FD"/>
    <w:rsid w:val="004B1B82"/>
    <w:rsid w:val="004B1EAA"/>
    <w:rsid w:val="004B1F08"/>
    <w:rsid w:val="004B21A0"/>
    <w:rsid w:val="004B22AA"/>
    <w:rsid w:val="004B257C"/>
    <w:rsid w:val="004B25C4"/>
    <w:rsid w:val="004B2DE4"/>
    <w:rsid w:val="004B30FF"/>
    <w:rsid w:val="004B311B"/>
    <w:rsid w:val="004B3253"/>
    <w:rsid w:val="004B32C9"/>
    <w:rsid w:val="004B34E6"/>
    <w:rsid w:val="004B350C"/>
    <w:rsid w:val="004B3881"/>
    <w:rsid w:val="004B39FA"/>
    <w:rsid w:val="004B3BDB"/>
    <w:rsid w:val="004B3EDE"/>
    <w:rsid w:val="004B3FD1"/>
    <w:rsid w:val="004B43E0"/>
    <w:rsid w:val="004B4452"/>
    <w:rsid w:val="004B47A9"/>
    <w:rsid w:val="004B4A0C"/>
    <w:rsid w:val="004B4A42"/>
    <w:rsid w:val="004B4AED"/>
    <w:rsid w:val="004B4B8D"/>
    <w:rsid w:val="004B4CA5"/>
    <w:rsid w:val="004B4DF3"/>
    <w:rsid w:val="004B516C"/>
    <w:rsid w:val="004B53E3"/>
    <w:rsid w:val="004B5890"/>
    <w:rsid w:val="004B5907"/>
    <w:rsid w:val="004B5A5E"/>
    <w:rsid w:val="004B5E31"/>
    <w:rsid w:val="004B5F79"/>
    <w:rsid w:val="004B60B5"/>
    <w:rsid w:val="004B624B"/>
    <w:rsid w:val="004B63E0"/>
    <w:rsid w:val="004B68F8"/>
    <w:rsid w:val="004B6AF2"/>
    <w:rsid w:val="004B71D6"/>
    <w:rsid w:val="004B72B6"/>
    <w:rsid w:val="004B736F"/>
    <w:rsid w:val="004B7395"/>
    <w:rsid w:val="004B74AF"/>
    <w:rsid w:val="004B76BE"/>
    <w:rsid w:val="004B76D7"/>
    <w:rsid w:val="004B7803"/>
    <w:rsid w:val="004B7C7A"/>
    <w:rsid w:val="004B7D73"/>
    <w:rsid w:val="004B7DE1"/>
    <w:rsid w:val="004B7F45"/>
    <w:rsid w:val="004C06BB"/>
    <w:rsid w:val="004C06EF"/>
    <w:rsid w:val="004C0734"/>
    <w:rsid w:val="004C0BC0"/>
    <w:rsid w:val="004C0CD4"/>
    <w:rsid w:val="004C0E65"/>
    <w:rsid w:val="004C130C"/>
    <w:rsid w:val="004C1354"/>
    <w:rsid w:val="004C1651"/>
    <w:rsid w:val="004C19B1"/>
    <w:rsid w:val="004C1B17"/>
    <w:rsid w:val="004C1B3D"/>
    <w:rsid w:val="004C1D4E"/>
    <w:rsid w:val="004C1DC8"/>
    <w:rsid w:val="004C2051"/>
    <w:rsid w:val="004C22EC"/>
    <w:rsid w:val="004C23B6"/>
    <w:rsid w:val="004C23E7"/>
    <w:rsid w:val="004C265B"/>
    <w:rsid w:val="004C2AB4"/>
    <w:rsid w:val="004C2D20"/>
    <w:rsid w:val="004C2F6F"/>
    <w:rsid w:val="004C326E"/>
    <w:rsid w:val="004C35E9"/>
    <w:rsid w:val="004C373A"/>
    <w:rsid w:val="004C3778"/>
    <w:rsid w:val="004C3836"/>
    <w:rsid w:val="004C39B0"/>
    <w:rsid w:val="004C39D3"/>
    <w:rsid w:val="004C3A0D"/>
    <w:rsid w:val="004C3AF4"/>
    <w:rsid w:val="004C3F47"/>
    <w:rsid w:val="004C3FD0"/>
    <w:rsid w:val="004C4372"/>
    <w:rsid w:val="004C45B7"/>
    <w:rsid w:val="004C45DE"/>
    <w:rsid w:val="004C4720"/>
    <w:rsid w:val="004C4786"/>
    <w:rsid w:val="004C4921"/>
    <w:rsid w:val="004C4C82"/>
    <w:rsid w:val="004C4E2C"/>
    <w:rsid w:val="004C519C"/>
    <w:rsid w:val="004C531A"/>
    <w:rsid w:val="004C56C9"/>
    <w:rsid w:val="004C57B5"/>
    <w:rsid w:val="004C58BB"/>
    <w:rsid w:val="004C58F7"/>
    <w:rsid w:val="004C5A47"/>
    <w:rsid w:val="004C5B66"/>
    <w:rsid w:val="004C5C16"/>
    <w:rsid w:val="004C5ED2"/>
    <w:rsid w:val="004C60CC"/>
    <w:rsid w:val="004C61FD"/>
    <w:rsid w:val="004C627B"/>
    <w:rsid w:val="004C647B"/>
    <w:rsid w:val="004C6616"/>
    <w:rsid w:val="004C6657"/>
    <w:rsid w:val="004C6776"/>
    <w:rsid w:val="004C678E"/>
    <w:rsid w:val="004C67B6"/>
    <w:rsid w:val="004C6A26"/>
    <w:rsid w:val="004C6AC1"/>
    <w:rsid w:val="004C6C67"/>
    <w:rsid w:val="004C6C74"/>
    <w:rsid w:val="004C6CBE"/>
    <w:rsid w:val="004C6DC9"/>
    <w:rsid w:val="004C6F9F"/>
    <w:rsid w:val="004C715C"/>
    <w:rsid w:val="004C734F"/>
    <w:rsid w:val="004C7734"/>
    <w:rsid w:val="004C7CDF"/>
    <w:rsid w:val="004D0059"/>
    <w:rsid w:val="004D00C1"/>
    <w:rsid w:val="004D0186"/>
    <w:rsid w:val="004D01D6"/>
    <w:rsid w:val="004D0367"/>
    <w:rsid w:val="004D0483"/>
    <w:rsid w:val="004D0577"/>
    <w:rsid w:val="004D05E9"/>
    <w:rsid w:val="004D098D"/>
    <w:rsid w:val="004D0AEB"/>
    <w:rsid w:val="004D0DB1"/>
    <w:rsid w:val="004D0EC0"/>
    <w:rsid w:val="004D0EF3"/>
    <w:rsid w:val="004D0F4D"/>
    <w:rsid w:val="004D133E"/>
    <w:rsid w:val="004D13ED"/>
    <w:rsid w:val="004D14BE"/>
    <w:rsid w:val="004D15EC"/>
    <w:rsid w:val="004D15FE"/>
    <w:rsid w:val="004D1BA5"/>
    <w:rsid w:val="004D1D5B"/>
    <w:rsid w:val="004D1F13"/>
    <w:rsid w:val="004D2025"/>
    <w:rsid w:val="004D2042"/>
    <w:rsid w:val="004D22F1"/>
    <w:rsid w:val="004D2880"/>
    <w:rsid w:val="004D2C76"/>
    <w:rsid w:val="004D3024"/>
    <w:rsid w:val="004D3148"/>
    <w:rsid w:val="004D36BE"/>
    <w:rsid w:val="004D3865"/>
    <w:rsid w:val="004D39F0"/>
    <w:rsid w:val="004D3F30"/>
    <w:rsid w:val="004D401D"/>
    <w:rsid w:val="004D46C9"/>
    <w:rsid w:val="004D4744"/>
    <w:rsid w:val="004D4A3D"/>
    <w:rsid w:val="004D4AAC"/>
    <w:rsid w:val="004D4E81"/>
    <w:rsid w:val="004D4E9B"/>
    <w:rsid w:val="004D4ED2"/>
    <w:rsid w:val="004D5240"/>
    <w:rsid w:val="004D5333"/>
    <w:rsid w:val="004D54B2"/>
    <w:rsid w:val="004D577F"/>
    <w:rsid w:val="004D5A89"/>
    <w:rsid w:val="004D5B2C"/>
    <w:rsid w:val="004D5BBB"/>
    <w:rsid w:val="004D5C28"/>
    <w:rsid w:val="004D5D06"/>
    <w:rsid w:val="004D5F48"/>
    <w:rsid w:val="004D64F4"/>
    <w:rsid w:val="004D66AE"/>
    <w:rsid w:val="004D6A07"/>
    <w:rsid w:val="004D71A2"/>
    <w:rsid w:val="004D71C2"/>
    <w:rsid w:val="004D7362"/>
    <w:rsid w:val="004D7857"/>
    <w:rsid w:val="004D7A50"/>
    <w:rsid w:val="004D7E38"/>
    <w:rsid w:val="004D7EC6"/>
    <w:rsid w:val="004E01E8"/>
    <w:rsid w:val="004E04A9"/>
    <w:rsid w:val="004E07BD"/>
    <w:rsid w:val="004E0878"/>
    <w:rsid w:val="004E09F7"/>
    <w:rsid w:val="004E0CC4"/>
    <w:rsid w:val="004E0F76"/>
    <w:rsid w:val="004E1427"/>
    <w:rsid w:val="004E161A"/>
    <w:rsid w:val="004E1806"/>
    <w:rsid w:val="004E1A95"/>
    <w:rsid w:val="004E1AE3"/>
    <w:rsid w:val="004E1C52"/>
    <w:rsid w:val="004E1C63"/>
    <w:rsid w:val="004E1C87"/>
    <w:rsid w:val="004E1E7D"/>
    <w:rsid w:val="004E2006"/>
    <w:rsid w:val="004E2064"/>
    <w:rsid w:val="004E256E"/>
    <w:rsid w:val="004E2655"/>
    <w:rsid w:val="004E26DE"/>
    <w:rsid w:val="004E27A1"/>
    <w:rsid w:val="004E27CF"/>
    <w:rsid w:val="004E2921"/>
    <w:rsid w:val="004E29A1"/>
    <w:rsid w:val="004E2AD4"/>
    <w:rsid w:val="004E2DAD"/>
    <w:rsid w:val="004E2ECB"/>
    <w:rsid w:val="004E30E0"/>
    <w:rsid w:val="004E31F4"/>
    <w:rsid w:val="004E35CE"/>
    <w:rsid w:val="004E362D"/>
    <w:rsid w:val="004E3681"/>
    <w:rsid w:val="004E36CC"/>
    <w:rsid w:val="004E3793"/>
    <w:rsid w:val="004E3A76"/>
    <w:rsid w:val="004E3B73"/>
    <w:rsid w:val="004E3C94"/>
    <w:rsid w:val="004E45B0"/>
    <w:rsid w:val="004E49FF"/>
    <w:rsid w:val="004E4A4A"/>
    <w:rsid w:val="004E4A4C"/>
    <w:rsid w:val="004E4AB6"/>
    <w:rsid w:val="004E4B4E"/>
    <w:rsid w:val="004E4E75"/>
    <w:rsid w:val="004E4E91"/>
    <w:rsid w:val="004E52BA"/>
    <w:rsid w:val="004E568B"/>
    <w:rsid w:val="004E56C8"/>
    <w:rsid w:val="004E5733"/>
    <w:rsid w:val="004E5915"/>
    <w:rsid w:val="004E5953"/>
    <w:rsid w:val="004E59D9"/>
    <w:rsid w:val="004E5A52"/>
    <w:rsid w:val="004E5AB6"/>
    <w:rsid w:val="004E5BB0"/>
    <w:rsid w:val="004E5CAC"/>
    <w:rsid w:val="004E5D9E"/>
    <w:rsid w:val="004E5FD1"/>
    <w:rsid w:val="004E6010"/>
    <w:rsid w:val="004E60D7"/>
    <w:rsid w:val="004E60E2"/>
    <w:rsid w:val="004E6157"/>
    <w:rsid w:val="004E6221"/>
    <w:rsid w:val="004E64ED"/>
    <w:rsid w:val="004E677A"/>
    <w:rsid w:val="004E6999"/>
    <w:rsid w:val="004E6A7C"/>
    <w:rsid w:val="004E6B2B"/>
    <w:rsid w:val="004E6C54"/>
    <w:rsid w:val="004E6ED0"/>
    <w:rsid w:val="004E7635"/>
    <w:rsid w:val="004E7715"/>
    <w:rsid w:val="004E79A0"/>
    <w:rsid w:val="004E7A10"/>
    <w:rsid w:val="004E7D72"/>
    <w:rsid w:val="004F03F8"/>
    <w:rsid w:val="004F066B"/>
    <w:rsid w:val="004F074A"/>
    <w:rsid w:val="004F086D"/>
    <w:rsid w:val="004F0A6C"/>
    <w:rsid w:val="004F0A6D"/>
    <w:rsid w:val="004F0ACD"/>
    <w:rsid w:val="004F0AFD"/>
    <w:rsid w:val="004F0F41"/>
    <w:rsid w:val="004F1613"/>
    <w:rsid w:val="004F162D"/>
    <w:rsid w:val="004F1676"/>
    <w:rsid w:val="004F1BCC"/>
    <w:rsid w:val="004F1DF4"/>
    <w:rsid w:val="004F202B"/>
    <w:rsid w:val="004F203D"/>
    <w:rsid w:val="004F2299"/>
    <w:rsid w:val="004F24C1"/>
    <w:rsid w:val="004F2797"/>
    <w:rsid w:val="004F2906"/>
    <w:rsid w:val="004F2C50"/>
    <w:rsid w:val="004F2EF8"/>
    <w:rsid w:val="004F2FE4"/>
    <w:rsid w:val="004F3054"/>
    <w:rsid w:val="004F3180"/>
    <w:rsid w:val="004F3219"/>
    <w:rsid w:val="004F323F"/>
    <w:rsid w:val="004F32A3"/>
    <w:rsid w:val="004F3481"/>
    <w:rsid w:val="004F35D3"/>
    <w:rsid w:val="004F367F"/>
    <w:rsid w:val="004F3736"/>
    <w:rsid w:val="004F3796"/>
    <w:rsid w:val="004F37CF"/>
    <w:rsid w:val="004F383D"/>
    <w:rsid w:val="004F3BED"/>
    <w:rsid w:val="004F3E5A"/>
    <w:rsid w:val="004F3F8B"/>
    <w:rsid w:val="004F3FE1"/>
    <w:rsid w:val="004F421C"/>
    <w:rsid w:val="004F443D"/>
    <w:rsid w:val="004F4597"/>
    <w:rsid w:val="004F4661"/>
    <w:rsid w:val="004F4810"/>
    <w:rsid w:val="004F4A55"/>
    <w:rsid w:val="004F4B8C"/>
    <w:rsid w:val="004F4CD4"/>
    <w:rsid w:val="004F4D61"/>
    <w:rsid w:val="004F4EA7"/>
    <w:rsid w:val="004F4F03"/>
    <w:rsid w:val="004F4F2C"/>
    <w:rsid w:val="004F5334"/>
    <w:rsid w:val="004F559A"/>
    <w:rsid w:val="004F5745"/>
    <w:rsid w:val="004F5978"/>
    <w:rsid w:val="004F59F6"/>
    <w:rsid w:val="004F604A"/>
    <w:rsid w:val="004F607C"/>
    <w:rsid w:val="004F60E6"/>
    <w:rsid w:val="004F61AD"/>
    <w:rsid w:val="004F65B0"/>
    <w:rsid w:val="004F67B7"/>
    <w:rsid w:val="004F6859"/>
    <w:rsid w:val="004F696B"/>
    <w:rsid w:val="004F6C05"/>
    <w:rsid w:val="004F6C9A"/>
    <w:rsid w:val="004F6E11"/>
    <w:rsid w:val="004F705A"/>
    <w:rsid w:val="004F7246"/>
    <w:rsid w:val="004F782F"/>
    <w:rsid w:val="004F7851"/>
    <w:rsid w:val="004F78EB"/>
    <w:rsid w:val="004F7B8D"/>
    <w:rsid w:val="004F7C06"/>
    <w:rsid w:val="004F7FA2"/>
    <w:rsid w:val="005004B7"/>
    <w:rsid w:val="00500A50"/>
    <w:rsid w:val="00500EFE"/>
    <w:rsid w:val="00500FB9"/>
    <w:rsid w:val="0050116C"/>
    <w:rsid w:val="00501698"/>
    <w:rsid w:val="00501A8C"/>
    <w:rsid w:val="00501BC1"/>
    <w:rsid w:val="00501D19"/>
    <w:rsid w:val="00501EC4"/>
    <w:rsid w:val="00501F4D"/>
    <w:rsid w:val="00501F59"/>
    <w:rsid w:val="005020E4"/>
    <w:rsid w:val="005025D5"/>
    <w:rsid w:val="00502692"/>
    <w:rsid w:val="005026EE"/>
    <w:rsid w:val="005027A2"/>
    <w:rsid w:val="00502A8A"/>
    <w:rsid w:val="00502E3B"/>
    <w:rsid w:val="00502EA6"/>
    <w:rsid w:val="00502EF5"/>
    <w:rsid w:val="00502FD6"/>
    <w:rsid w:val="00502FE5"/>
    <w:rsid w:val="00502FF6"/>
    <w:rsid w:val="00503139"/>
    <w:rsid w:val="005031C4"/>
    <w:rsid w:val="005032E2"/>
    <w:rsid w:val="0050336B"/>
    <w:rsid w:val="0050357F"/>
    <w:rsid w:val="00503824"/>
    <w:rsid w:val="00503B29"/>
    <w:rsid w:val="005040A5"/>
    <w:rsid w:val="00504328"/>
    <w:rsid w:val="005045EF"/>
    <w:rsid w:val="00504614"/>
    <w:rsid w:val="00504A14"/>
    <w:rsid w:val="00504BD3"/>
    <w:rsid w:val="00504CB5"/>
    <w:rsid w:val="00504F2B"/>
    <w:rsid w:val="00504F2D"/>
    <w:rsid w:val="0050514A"/>
    <w:rsid w:val="0050538B"/>
    <w:rsid w:val="0050549A"/>
    <w:rsid w:val="0050584E"/>
    <w:rsid w:val="00505864"/>
    <w:rsid w:val="00505A47"/>
    <w:rsid w:val="00505B6F"/>
    <w:rsid w:val="00505CA9"/>
    <w:rsid w:val="00505E22"/>
    <w:rsid w:val="0050631B"/>
    <w:rsid w:val="00506568"/>
    <w:rsid w:val="0050657F"/>
    <w:rsid w:val="005065EE"/>
    <w:rsid w:val="00506982"/>
    <w:rsid w:val="00506AE0"/>
    <w:rsid w:val="00506BDC"/>
    <w:rsid w:val="00506C98"/>
    <w:rsid w:val="00506DF6"/>
    <w:rsid w:val="00506FED"/>
    <w:rsid w:val="005073F7"/>
    <w:rsid w:val="00507495"/>
    <w:rsid w:val="00507625"/>
    <w:rsid w:val="005078CA"/>
    <w:rsid w:val="00507E6A"/>
    <w:rsid w:val="00507F7A"/>
    <w:rsid w:val="0051018D"/>
    <w:rsid w:val="00510349"/>
    <w:rsid w:val="00510A22"/>
    <w:rsid w:val="00510B47"/>
    <w:rsid w:val="00510D11"/>
    <w:rsid w:val="00510D9C"/>
    <w:rsid w:val="00510E5D"/>
    <w:rsid w:val="0051116F"/>
    <w:rsid w:val="0051143C"/>
    <w:rsid w:val="005117EC"/>
    <w:rsid w:val="00511B7A"/>
    <w:rsid w:val="00511BCD"/>
    <w:rsid w:val="00511C78"/>
    <w:rsid w:val="00511D24"/>
    <w:rsid w:val="00511D39"/>
    <w:rsid w:val="00511DEC"/>
    <w:rsid w:val="00512139"/>
    <w:rsid w:val="0051235F"/>
    <w:rsid w:val="00512558"/>
    <w:rsid w:val="00512561"/>
    <w:rsid w:val="0051268C"/>
    <w:rsid w:val="005127F1"/>
    <w:rsid w:val="0051280D"/>
    <w:rsid w:val="00512B32"/>
    <w:rsid w:val="00512CFD"/>
    <w:rsid w:val="00512EC0"/>
    <w:rsid w:val="00512FD1"/>
    <w:rsid w:val="0051300F"/>
    <w:rsid w:val="00513293"/>
    <w:rsid w:val="005133F9"/>
    <w:rsid w:val="00513413"/>
    <w:rsid w:val="005138E8"/>
    <w:rsid w:val="00513A44"/>
    <w:rsid w:val="00513B57"/>
    <w:rsid w:val="00513CC2"/>
    <w:rsid w:val="0051406A"/>
    <w:rsid w:val="00514443"/>
    <w:rsid w:val="00514529"/>
    <w:rsid w:val="005146B3"/>
    <w:rsid w:val="00514732"/>
    <w:rsid w:val="00514984"/>
    <w:rsid w:val="00514C5E"/>
    <w:rsid w:val="00514E2D"/>
    <w:rsid w:val="00515154"/>
    <w:rsid w:val="005153BA"/>
    <w:rsid w:val="0051556E"/>
    <w:rsid w:val="00515659"/>
    <w:rsid w:val="005157A4"/>
    <w:rsid w:val="00515B9E"/>
    <w:rsid w:val="00515CF7"/>
    <w:rsid w:val="00515DA1"/>
    <w:rsid w:val="00515F4E"/>
    <w:rsid w:val="00516171"/>
    <w:rsid w:val="00516487"/>
    <w:rsid w:val="005165A3"/>
    <w:rsid w:val="005165AA"/>
    <w:rsid w:val="005165EA"/>
    <w:rsid w:val="0051662B"/>
    <w:rsid w:val="0051676D"/>
    <w:rsid w:val="00516A44"/>
    <w:rsid w:val="00516B43"/>
    <w:rsid w:val="00516CA3"/>
    <w:rsid w:val="0051722D"/>
    <w:rsid w:val="00517271"/>
    <w:rsid w:val="0051739D"/>
    <w:rsid w:val="005175FC"/>
    <w:rsid w:val="005176E5"/>
    <w:rsid w:val="00517897"/>
    <w:rsid w:val="00517AC9"/>
    <w:rsid w:val="00517AD9"/>
    <w:rsid w:val="00517FCC"/>
    <w:rsid w:val="005200DD"/>
    <w:rsid w:val="0052018C"/>
    <w:rsid w:val="00520307"/>
    <w:rsid w:val="00520395"/>
    <w:rsid w:val="005204B7"/>
    <w:rsid w:val="005205AC"/>
    <w:rsid w:val="00520F4C"/>
    <w:rsid w:val="00520F76"/>
    <w:rsid w:val="00521215"/>
    <w:rsid w:val="00521595"/>
    <w:rsid w:val="005215CE"/>
    <w:rsid w:val="00521975"/>
    <w:rsid w:val="00521D98"/>
    <w:rsid w:val="00521E21"/>
    <w:rsid w:val="00521E39"/>
    <w:rsid w:val="00521E3D"/>
    <w:rsid w:val="00522342"/>
    <w:rsid w:val="00522500"/>
    <w:rsid w:val="00522560"/>
    <w:rsid w:val="00522A0E"/>
    <w:rsid w:val="00522D47"/>
    <w:rsid w:val="00522E53"/>
    <w:rsid w:val="00522F51"/>
    <w:rsid w:val="00523336"/>
    <w:rsid w:val="00523852"/>
    <w:rsid w:val="00523863"/>
    <w:rsid w:val="00523A94"/>
    <w:rsid w:val="00523A98"/>
    <w:rsid w:val="00523F12"/>
    <w:rsid w:val="00523F4D"/>
    <w:rsid w:val="0052423A"/>
    <w:rsid w:val="00524245"/>
    <w:rsid w:val="00524299"/>
    <w:rsid w:val="005242A6"/>
    <w:rsid w:val="00524666"/>
    <w:rsid w:val="00524A08"/>
    <w:rsid w:val="00524CC3"/>
    <w:rsid w:val="00524CE3"/>
    <w:rsid w:val="0052508C"/>
    <w:rsid w:val="005250B5"/>
    <w:rsid w:val="0052514E"/>
    <w:rsid w:val="0052538B"/>
    <w:rsid w:val="005253E3"/>
    <w:rsid w:val="0052545A"/>
    <w:rsid w:val="0052561D"/>
    <w:rsid w:val="00525686"/>
    <w:rsid w:val="005256AC"/>
    <w:rsid w:val="0052573B"/>
    <w:rsid w:val="0052581D"/>
    <w:rsid w:val="00525991"/>
    <w:rsid w:val="00525A1A"/>
    <w:rsid w:val="00525A64"/>
    <w:rsid w:val="00525C42"/>
    <w:rsid w:val="00525D3D"/>
    <w:rsid w:val="00525DA6"/>
    <w:rsid w:val="00526187"/>
    <w:rsid w:val="005264E7"/>
    <w:rsid w:val="005268F7"/>
    <w:rsid w:val="00526ABC"/>
    <w:rsid w:val="00526C68"/>
    <w:rsid w:val="00526F76"/>
    <w:rsid w:val="00526FE1"/>
    <w:rsid w:val="00527190"/>
    <w:rsid w:val="005271C9"/>
    <w:rsid w:val="005273C1"/>
    <w:rsid w:val="00527428"/>
    <w:rsid w:val="00527901"/>
    <w:rsid w:val="00527CCE"/>
    <w:rsid w:val="00527D48"/>
    <w:rsid w:val="00527E90"/>
    <w:rsid w:val="005300B7"/>
    <w:rsid w:val="00530340"/>
    <w:rsid w:val="005303ED"/>
    <w:rsid w:val="005304E5"/>
    <w:rsid w:val="00530C5C"/>
    <w:rsid w:val="00530D93"/>
    <w:rsid w:val="00530E18"/>
    <w:rsid w:val="005310EB"/>
    <w:rsid w:val="00531142"/>
    <w:rsid w:val="0053115D"/>
    <w:rsid w:val="00531415"/>
    <w:rsid w:val="00531590"/>
    <w:rsid w:val="005318F4"/>
    <w:rsid w:val="00531A08"/>
    <w:rsid w:val="00531B13"/>
    <w:rsid w:val="00531E81"/>
    <w:rsid w:val="00531EEB"/>
    <w:rsid w:val="00532092"/>
    <w:rsid w:val="00532251"/>
    <w:rsid w:val="00532288"/>
    <w:rsid w:val="005323E8"/>
    <w:rsid w:val="0053288F"/>
    <w:rsid w:val="005328A5"/>
    <w:rsid w:val="00532B63"/>
    <w:rsid w:val="00532D10"/>
    <w:rsid w:val="00532D6D"/>
    <w:rsid w:val="00532E46"/>
    <w:rsid w:val="00533156"/>
    <w:rsid w:val="0053391D"/>
    <w:rsid w:val="00533A45"/>
    <w:rsid w:val="00533F4F"/>
    <w:rsid w:val="00534035"/>
    <w:rsid w:val="005344A6"/>
    <w:rsid w:val="005344B6"/>
    <w:rsid w:val="005346D5"/>
    <w:rsid w:val="0053478D"/>
    <w:rsid w:val="00534814"/>
    <w:rsid w:val="0053483D"/>
    <w:rsid w:val="005348FA"/>
    <w:rsid w:val="00534A6B"/>
    <w:rsid w:val="00534AEA"/>
    <w:rsid w:val="00534C16"/>
    <w:rsid w:val="00535274"/>
    <w:rsid w:val="00535291"/>
    <w:rsid w:val="00535826"/>
    <w:rsid w:val="0053604C"/>
    <w:rsid w:val="005360B8"/>
    <w:rsid w:val="005360E8"/>
    <w:rsid w:val="005360F3"/>
    <w:rsid w:val="00536144"/>
    <w:rsid w:val="005361DA"/>
    <w:rsid w:val="00536393"/>
    <w:rsid w:val="005365BA"/>
    <w:rsid w:val="00536667"/>
    <w:rsid w:val="005369FB"/>
    <w:rsid w:val="00536CC1"/>
    <w:rsid w:val="00536E8C"/>
    <w:rsid w:val="0053707C"/>
    <w:rsid w:val="005370EC"/>
    <w:rsid w:val="00537164"/>
    <w:rsid w:val="0053718D"/>
    <w:rsid w:val="005371C9"/>
    <w:rsid w:val="00537553"/>
    <w:rsid w:val="0053783A"/>
    <w:rsid w:val="005378B7"/>
    <w:rsid w:val="0053792C"/>
    <w:rsid w:val="005379B9"/>
    <w:rsid w:val="005379CE"/>
    <w:rsid w:val="00537E31"/>
    <w:rsid w:val="0054009D"/>
    <w:rsid w:val="0054012C"/>
    <w:rsid w:val="005405A7"/>
    <w:rsid w:val="00540B9E"/>
    <w:rsid w:val="00540BE8"/>
    <w:rsid w:val="00540D33"/>
    <w:rsid w:val="00540E3D"/>
    <w:rsid w:val="00541084"/>
    <w:rsid w:val="005412E0"/>
    <w:rsid w:val="0054151D"/>
    <w:rsid w:val="005415E1"/>
    <w:rsid w:val="00541797"/>
    <w:rsid w:val="00541A6D"/>
    <w:rsid w:val="00541A80"/>
    <w:rsid w:val="00541B29"/>
    <w:rsid w:val="00541C59"/>
    <w:rsid w:val="00541D8B"/>
    <w:rsid w:val="00541DF5"/>
    <w:rsid w:val="00541F6B"/>
    <w:rsid w:val="00541FFE"/>
    <w:rsid w:val="00542159"/>
    <w:rsid w:val="005422C1"/>
    <w:rsid w:val="0054232C"/>
    <w:rsid w:val="0054247D"/>
    <w:rsid w:val="00542B0E"/>
    <w:rsid w:val="00542EFF"/>
    <w:rsid w:val="005431B9"/>
    <w:rsid w:val="005434A4"/>
    <w:rsid w:val="00543612"/>
    <w:rsid w:val="0054388F"/>
    <w:rsid w:val="005438A8"/>
    <w:rsid w:val="0054393C"/>
    <w:rsid w:val="00543AB5"/>
    <w:rsid w:val="00543C89"/>
    <w:rsid w:val="00544170"/>
    <w:rsid w:val="00544260"/>
    <w:rsid w:val="00544310"/>
    <w:rsid w:val="00544366"/>
    <w:rsid w:val="005443CA"/>
    <w:rsid w:val="00544454"/>
    <w:rsid w:val="0054449F"/>
    <w:rsid w:val="00544974"/>
    <w:rsid w:val="0054499F"/>
    <w:rsid w:val="00544BFF"/>
    <w:rsid w:val="00544C1E"/>
    <w:rsid w:val="00544C2C"/>
    <w:rsid w:val="00544D12"/>
    <w:rsid w:val="00544E53"/>
    <w:rsid w:val="00545044"/>
    <w:rsid w:val="0054570E"/>
    <w:rsid w:val="0054578D"/>
    <w:rsid w:val="00545A35"/>
    <w:rsid w:val="00545E1D"/>
    <w:rsid w:val="005461D8"/>
    <w:rsid w:val="00546236"/>
    <w:rsid w:val="005462DB"/>
    <w:rsid w:val="0054632F"/>
    <w:rsid w:val="005464F1"/>
    <w:rsid w:val="00546891"/>
    <w:rsid w:val="00546B6D"/>
    <w:rsid w:val="00546F66"/>
    <w:rsid w:val="0054700C"/>
    <w:rsid w:val="005473A6"/>
    <w:rsid w:val="005473D3"/>
    <w:rsid w:val="00547578"/>
    <w:rsid w:val="0054757C"/>
    <w:rsid w:val="00547817"/>
    <w:rsid w:val="0054784C"/>
    <w:rsid w:val="00547870"/>
    <w:rsid w:val="0054789D"/>
    <w:rsid w:val="00547A3A"/>
    <w:rsid w:val="00547B09"/>
    <w:rsid w:val="00547CC3"/>
    <w:rsid w:val="00547EEF"/>
    <w:rsid w:val="00547F2C"/>
    <w:rsid w:val="00550184"/>
    <w:rsid w:val="00550231"/>
    <w:rsid w:val="00550663"/>
    <w:rsid w:val="00550679"/>
    <w:rsid w:val="005506AB"/>
    <w:rsid w:val="00550754"/>
    <w:rsid w:val="005507DD"/>
    <w:rsid w:val="00550A4E"/>
    <w:rsid w:val="00550AB9"/>
    <w:rsid w:val="00550B9A"/>
    <w:rsid w:val="00550CC5"/>
    <w:rsid w:val="00550DBE"/>
    <w:rsid w:val="00550DF7"/>
    <w:rsid w:val="005515BF"/>
    <w:rsid w:val="005517DB"/>
    <w:rsid w:val="005518B8"/>
    <w:rsid w:val="00551908"/>
    <w:rsid w:val="00551B92"/>
    <w:rsid w:val="00551CAC"/>
    <w:rsid w:val="00551E0A"/>
    <w:rsid w:val="00552155"/>
    <w:rsid w:val="0055237F"/>
    <w:rsid w:val="00552A3F"/>
    <w:rsid w:val="00552D1B"/>
    <w:rsid w:val="00552D8C"/>
    <w:rsid w:val="00552F31"/>
    <w:rsid w:val="00552FB2"/>
    <w:rsid w:val="00553150"/>
    <w:rsid w:val="005532B6"/>
    <w:rsid w:val="00553556"/>
    <w:rsid w:val="0055367E"/>
    <w:rsid w:val="005536DC"/>
    <w:rsid w:val="005537D2"/>
    <w:rsid w:val="00553858"/>
    <w:rsid w:val="0055405A"/>
    <w:rsid w:val="005540D0"/>
    <w:rsid w:val="00554100"/>
    <w:rsid w:val="005543EE"/>
    <w:rsid w:val="0055492B"/>
    <w:rsid w:val="005549E6"/>
    <w:rsid w:val="00554B8A"/>
    <w:rsid w:val="005550A9"/>
    <w:rsid w:val="0055516C"/>
    <w:rsid w:val="005551C3"/>
    <w:rsid w:val="00555492"/>
    <w:rsid w:val="00555497"/>
    <w:rsid w:val="005557F3"/>
    <w:rsid w:val="00555890"/>
    <w:rsid w:val="00555979"/>
    <w:rsid w:val="00555BFE"/>
    <w:rsid w:val="00555D57"/>
    <w:rsid w:val="00555E0A"/>
    <w:rsid w:val="00555F54"/>
    <w:rsid w:val="00556217"/>
    <w:rsid w:val="00556459"/>
    <w:rsid w:val="005564AD"/>
    <w:rsid w:val="0055689C"/>
    <w:rsid w:val="00556AC7"/>
    <w:rsid w:val="00556B57"/>
    <w:rsid w:val="00556D98"/>
    <w:rsid w:val="005570E6"/>
    <w:rsid w:val="00557328"/>
    <w:rsid w:val="005573D7"/>
    <w:rsid w:val="005574DB"/>
    <w:rsid w:val="00557816"/>
    <w:rsid w:val="00557B32"/>
    <w:rsid w:val="00557B72"/>
    <w:rsid w:val="00557C62"/>
    <w:rsid w:val="00557CF4"/>
    <w:rsid w:val="00557E1A"/>
    <w:rsid w:val="00557E3B"/>
    <w:rsid w:val="00557F09"/>
    <w:rsid w:val="005601F7"/>
    <w:rsid w:val="005602AB"/>
    <w:rsid w:val="00560410"/>
    <w:rsid w:val="00560554"/>
    <w:rsid w:val="00560659"/>
    <w:rsid w:val="0056076F"/>
    <w:rsid w:val="00560877"/>
    <w:rsid w:val="00560949"/>
    <w:rsid w:val="00560B67"/>
    <w:rsid w:val="00560F65"/>
    <w:rsid w:val="0056101F"/>
    <w:rsid w:val="0056106F"/>
    <w:rsid w:val="005611BF"/>
    <w:rsid w:val="005611F5"/>
    <w:rsid w:val="00561354"/>
    <w:rsid w:val="00561371"/>
    <w:rsid w:val="005614F0"/>
    <w:rsid w:val="005617C3"/>
    <w:rsid w:val="00561EF3"/>
    <w:rsid w:val="00562071"/>
    <w:rsid w:val="005620DC"/>
    <w:rsid w:val="00562266"/>
    <w:rsid w:val="005622EE"/>
    <w:rsid w:val="0056241B"/>
    <w:rsid w:val="005629CA"/>
    <w:rsid w:val="00562A24"/>
    <w:rsid w:val="00562C72"/>
    <w:rsid w:val="00562DD5"/>
    <w:rsid w:val="005632B8"/>
    <w:rsid w:val="005632E1"/>
    <w:rsid w:val="0056335D"/>
    <w:rsid w:val="005634B6"/>
    <w:rsid w:val="0056364C"/>
    <w:rsid w:val="00563650"/>
    <w:rsid w:val="0056370C"/>
    <w:rsid w:val="0056374F"/>
    <w:rsid w:val="00563880"/>
    <w:rsid w:val="005638C9"/>
    <w:rsid w:val="00563B5E"/>
    <w:rsid w:val="00563B9A"/>
    <w:rsid w:val="00564294"/>
    <w:rsid w:val="00564320"/>
    <w:rsid w:val="00564545"/>
    <w:rsid w:val="005646D6"/>
    <w:rsid w:val="005648B0"/>
    <w:rsid w:val="00564953"/>
    <w:rsid w:val="0056499A"/>
    <w:rsid w:val="00564D1C"/>
    <w:rsid w:val="00564D8F"/>
    <w:rsid w:val="00564EA1"/>
    <w:rsid w:val="005651A3"/>
    <w:rsid w:val="005653B0"/>
    <w:rsid w:val="00565592"/>
    <w:rsid w:val="00565679"/>
    <w:rsid w:val="00565CFD"/>
    <w:rsid w:val="00565D27"/>
    <w:rsid w:val="005664D6"/>
    <w:rsid w:val="00566533"/>
    <w:rsid w:val="00566A1D"/>
    <w:rsid w:val="00566A85"/>
    <w:rsid w:val="00566C41"/>
    <w:rsid w:val="00566D2F"/>
    <w:rsid w:val="00566D4F"/>
    <w:rsid w:val="00566E2D"/>
    <w:rsid w:val="00566ED4"/>
    <w:rsid w:val="00566F8E"/>
    <w:rsid w:val="0056741A"/>
    <w:rsid w:val="00567442"/>
    <w:rsid w:val="00567515"/>
    <w:rsid w:val="00567688"/>
    <w:rsid w:val="0056777E"/>
    <w:rsid w:val="00567B63"/>
    <w:rsid w:val="00567EF8"/>
    <w:rsid w:val="00570023"/>
    <w:rsid w:val="00570126"/>
    <w:rsid w:val="00570537"/>
    <w:rsid w:val="00570755"/>
    <w:rsid w:val="005708C1"/>
    <w:rsid w:val="00570DFD"/>
    <w:rsid w:val="00570E32"/>
    <w:rsid w:val="00570FCE"/>
    <w:rsid w:val="005710C5"/>
    <w:rsid w:val="00571226"/>
    <w:rsid w:val="0057131E"/>
    <w:rsid w:val="00571471"/>
    <w:rsid w:val="005718E4"/>
    <w:rsid w:val="005719F0"/>
    <w:rsid w:val="00571A5A"/>
    <w:rsid w:val="00571C0D"/>
    <w:rsid w:val="00571C6F"/>
    <w:rsid w:val="005722C7"/>
    <w:rsid w:val="005723D9"/>
    <w:rsid w:val="00572464"/>
    <w:rsid w:val="005725F7"/>
    <w:rsid w:val="00572942"/>
    <w:rsid w:val="00572A30"/>
    <w:rsid w:val="00572B06"/>
    <w:rsid w:val="00572B52"/>
    <w:rsid w:val="00572B5D"/>
    <w:rsid w:val="00572E30"/>
    <w:rsid w:val="00572E5D"/>
    <w:rsid w:val="005731D5"/>
    <w:rsid w:val="0057342E"/>
    <w:rsid w:val="0057368E"/>
    <w:rsid w:val="005738E9"/>
    <w:rsid w:val="00573928"/>
    <w:rsid w:val="00573A2C"/>
    <w:rsid w:val="005741ED"/>
    <w:rsid w:val="005742FA"/>
    <w:rsid w:val="00574437"/>
    <w:rsid w:val="005746CF"/>
    <w:rsid w:val="005746E0"/>
    <w:rsid w:val="0057484E"/>
    <w:rsid w:val="00574D21"/>
    <w:rsid w:val="00574D31"/>
    <w:rsid w:val="00574F86"/>
    <w:rsid w:val="00574F8B"/>
    <w:rsid w:val="00574F92"/>
    <w:rsid w:val="00574FD1"/>
    <w:rsid w:val="005750DF"/>
    <w:rsid w:val="0057531A"/>
    <w:rsid w:val="00575526"/>
    <w:rsid w:val="0057564C"/>
    <w:rsid w:val="00575B24"/>
    <w:rsid w:val="00575DAA"/>
    <w:rsid w:val="00576004"/>
    <w:rsid w:val="005761F7"/>
    <w:rsid w:val="00576236"/>
    <w:rsid w:val="005765F5"/>
    <w:rsid w:val="0057673D"/>
    <w:rsid w:val="00576945"/>
    <w:rsid w:val="00576DAE"/>
    <w:rsid w:val="00577000"/>
    <w:rsid w:val="005774C7"/>
    <w:rsid w:val="00577642"/>
    <w:rsid w:val="005778A3"/>
    <w:rsid w:val="00577923"/>
    <w:rsid w:val="00577AAB"/>
    <w:rsid w:val="00577AF4"/>
    <w:rsid w:val="00577CE8"/>
    <w:rsid w:val="00577F93"/>
    <w:rsid w:val="0058027D"/>
    <w:rsid w:val="0058062E"/>
    <w:rsid w:val="005806E6"/>
    <w:rsid w:val="005808C2"/>
    <w:rsid w:val="00580A9C"/>
    <w:rsid w:val="00580CD4"/>
    <w:rsid w:val="00581486"/>
    <w:rsid w:val="005819AE"/>
    <w:rsid w:val="00581A83"/>
    <w:rsid w:val="00581E01"/>
    <w:rsid w:val="00581E11"/>
    <w:rsid w:val="005821F5"/>
    <w:rsid w:val="005822C1"/>
    <w:rsid w:val="0058243C"/>
    <w:rsid w:val="00582461"/>
    <w:rsid w:val="005825D7"/>
    <w:rsid w:val="00582C20"/>
    <w:rsid w:val="00582DBD"/>
    <w:rsid w:val="00582EE3"/>
    <w:rsid w:val="00583094"/>
    <w:rsid w:val="0058323C"/>
    <w:rsid w:val="005833E0"/>
    <w:rsid w:val="00583537"/>
    <w:rsid w:val="00583559"/>
    <w:rsid w:val="005836FD"/>
    <w:rsid w:val="0058385D"/>
    <w:rsid w:val="00583902"/>
    <w:rsid w:val="00583938"/>
    <w:rsid w:val="00583972"/>
    <w:rsid w:val="00583B6C"/>
    <w:rsid w:val="00583F7A"/>
    <w:rsid w:val="00583F82"/>
    <w:rsid w:val="00584101"/>
    <w:rsid w:val="0058412C"/>
    <w:rsid w:val="00584286"/>
    <w:rsid w:val="0058428B"/>
    <w:rsid w:val="005842FA"/>
    <w:rsid w:val="00584324"/>
    <w:rsid w:val="005847EE"/>
    <w:rsid w:val="00584B39"/>
    <w:rsid w:val="00584B4A"/>
    <w:rsid w:val="00584E8C"/>
    <w:rsid w:val="00584F11"/>
    <w:rsid w:val="00584FE4"/>
    <w:rsid w:val="00585236"/>
    <w:rsid w:val="005852E7"/>
    <w:rsid w:val="00585344"/>
    <w:rsid w:val="005853AC"/>
    <w:rsid w:val="00585976"/>
    <w:rsid w:val="00585980"/>
    <w:rsid w:val="00585C70"/>
    <w:rsid w:val="00585F33"/>
    <w:rsid w:val="00585F46"/>
    <w:rsid w:val="00586113"/>
    <w:rsid w:val="00586266"/>
    <w:rsid w:val="0058659E"/>
    <w:rsid w:val="005866D4"/>
    <w:rsid w:val="0058685E"/>
    <w:rsid w:val="00586DAB"/>
    <w:rsid w:val="00586FAA"/>
    <w:rsid w:val="00586FAF"/>
    <w:rsid w:val="0058715F"/>
    <w:rsid w:val="005872D8"/>
    <w:rsid w:val="00587462"/>
    <w:rsid w:val="005874C8"/>
    <w:rsid w:val="0058771A"/>
    <w:rsid w:val="005877FD"/>
    <w:rsid w:val="0058784F"/>
    <w:rsid w:val="0058799B"/>
    <w:rsid w:val="00587A87"/>
    <w:rsid w:val="00587AFB"/>
    <w:rsid w:val="00590067"/>
    <w:rsid w:val="005900C6"/>
    <w:rsid w:val="00590200"/>
    <w:rsid w:val="005902C6"/>
    <w:rsid w:val="0059052E"/>
    <w:rsid w:val="00590566"/>
    <w:rsid w:val="0059061B"/>
    <w:rsid w:val="00590ACD"/>
    <w:rsid w:val="00590AFA"/>
    <w:rsid w:val="00590CB5"/>
    <w:rsid w:val="00590E01"/>
    <w:rsid w:val="00590ED5"/>
    <w:rsid w:val="00590F6C"/>
    <w:rsid w:val="005912D0"/>
    <w:rsid w:val="005914FB"/>
    <w:rsid w:val="00591918"/>
    <w:rsid w:val="00591A04"/>
    <w:rsid w:val="00591AE5"/>
    <w:rsid w:val="00591B0E"/>
    <w:rsid w:val="00591B15"/>
    <w:rsid w:val="00591B5E"/>
    <w:rsid w:val="00591E71"/>
    <w:rsid w:val="00592025"/>
    <w:rsid w:val="00592091"/>
    <w:rsid w:val="005924B0"/>
    <w:rsid w:val="00592628"/>
    <w:rsid w:val="00592A21"/>
    <w:rsid w:val="00592B4E"/>
    <w:rsid w:val="00592DB2"/>
    <w:rsid w:val="00592E0D"/>
    <w:rsid w:val="00592EC9"/>
    <w:rsid w:val="00592F33"/>
    <w:rsid w:val="00592F69"/>
    <w:rsid w:val="00592FCB"/>
    <w:rsid w:val="00593076"/>
    <w:rsid w:val="005931B8"/>
    <w:rsid w:val="00593A20"/>
    <w:rsid w:val="00593A9B"/>
    <w:rsid w:val="00593DED"/>
    <w:rsid w:val="00593E21"/>
    <w:rsid w:val="00593F29"/>
    <w:rsid w:val="005940DA"/>
    <w:rsid w:val="00594279"/>
    <w:rsid w:val="005943AA"/>
    <w:rsid w:val="005944C6"/>
    <w:rsid w:val="00594665"/>
    <w:rsid w:val="005946D6"/>
    <w:rsid w:val="005946F8"/>
    <w:rsid w:val="005947AF"/>
    <w:rsid w:val="00594919"/>
    <w:rsid w:val="00594AE7"/>
    <w:rsid w:val="00594CBD"/>
    <w:rsid w:val="00594D73"/>
    <w:rsid w:val="00594E4A"/>
    <w:rsid w:val="00594EEC"/>
    <w:rsid w:val="00594FC6"/>
    <w:rsid w:val="0059507E"/>
    <w:rsid w:val="005951D1"/>
    <w:rsid w:val="005955A9"/>
    <w:rsid w:val="00595670"/>
    <w:rsid w:val="00595C2C"/>
    <w:rsid w:val="00595CD6"/>
    <w:rsid w:val="00595FDD"/>
    <w:rsid w:val="00595FDE"/>
    <w:rsid w:val="0059605E"/>
    <w:rsid w:val="005961B3"/>
    <w:rsid w:val="00596396"/>
    <w:rsid w:val="005964C9"/>
    <w:rsid w:val="00596582"/>
    <w:rsid w:val="0059685F"/>
    <w:rsid w:val="00596879"/>
    <w:rsid w:val="00596C0C"/>
    <w:rsid w:val="00596CCA"/>
    <w:rsid w:val="00596CCC"/>
    <w:rsid w:val="00596DDF"/>
    <w:rsid w:val="00596EE2"/>
    <w:rsid w:val="00596F5D"/>
    <w:rsid w:val="005971DA"/>
    <w:rsid w:val="0059747F"/>
    <w:rsid w:val="005975DC"/>
    <w:rsid w:val="00597792"/>
    <w:rsid w:val="0059780B"/>
    <w:rsid w:val="00597886"/>
    <w:rsid w:val="00597C59"/>
    <w:rsid w:val="00597CA5"/>
    <w:rsid w:val="00597D14"/>
    <w:rsid w:val="005A0741"/>
    <w:rsid w:val="005A096B"/>
    <w:rsid w:val="005A0B8D"/>
    <w:rsid w:val="005A0FE7"/>
    <w:rsid w:val="005A105C"/>
    <w:rsid w:val="005A10E8"/>
    <w:rsid w:val="005A1182"/>
    <w:rsid w:val="005A11A2"/>
    <w:rsid w:val="005A13D0"/>
    <w:rsid w:val="005A144F"/>
    <w:rsid w:val="005A180C"/>
    <w:rsid w:val="005A1A63"/>
    <w:rsid w:val="005A1A87"/>
    <w:rsid w:val="005A1B68"/>
    <w:rsid w:val="005A22A6"/>
    <w:rsid w:val="005A2498"/>
    <w:rsid w:val="005A2639"/>
    <w:rsid w:val="005A26E5"/>
    <w:rsid w:val="005A2AF1"/>
    <w:rsid w:val="005A2B1E"/>
    <w:rsid w:val="005A2C28"/>
    <w:rsid w:val="005A2D5F"/>
    <w:rsid w:val="005A2DD4"/>
    <w:rsid w:val="005A2EAA"/>
    <w:rsid w:val="005A30DA"/>
    <w:rsid w:val="005A3174"/>
    <w:rsid w:val="005A32BC"/>
    <w:rsid w:val="005A370E"/>
    <w:rsid w:val="005A37A3"/>
    <w:rsid w:val="005A37AA"/>
    <w:rsid w:val="005A38B8"/>
    <w:rsid w:val="005A3A98"/>
    <w:rsid w:val="005A3B2E"/>
    <w:rsid w:val="005A3CB2"/>
    <w:rsid w:val="005A3D22"/>
    <w:rsid w:val="005A3E8E"/>
    <w:rsid w:val="005A4056"/>
    <w:rsid w:val="005A4308"/>
    <w:rsid w:val="005A4658"/>
    <w:rsid w:val="005A4660"/>
    <w:rsid w:val="005A4836"/>
    <w:rsid w:val="005A4878"/>
    <w:rsid w:val="005A493C"/>
    <w:rsid w:val="005A49AC"/>
    <w:rsid w:val="005A49BC"/>
    <w:rsid w:val="005A4B59"/>
    <w:rsid w:val="005A4E69"/>
    <w:rsid w:val="005A5023"/>
    <w:rsid w:val="005A519F"/>
    <w:rsid w:val="005A5339"/>
    <w:rsid w:val="005A547C"/>
    <w:rsid w:val="005A5688"/>
    <w:rsid w:val="005A570F"/>
    <w:rsid w:val="005A577A"/>
    <w:rsid w:val="005A5832"/>
    <w:rsid w:val="005A588B"/>
    <w:rsid w:val="005A58CB"/>
    <w:rsid w:val="005A5AEF"/>
    <w:rsid w:val="005A5C79"/>
    <w:rsid w:val="005A5F52"/>
    <w:rsid w:val="005A62F1"/>
    <w:rsid w:val="005A66D4"/>
    <w:rsid w:val="005A6788"/>
    <w:rsid w:val="005A6932"/>
    <w:rsid w:val="005A6A8D"/>
    <w:rsid w:val="005A6BB5"/>
    <w:rsid w:val="005A6CF5"/>
    <w:rsid w:val="005A6CFE"/>
    <w:rsid w:val="005A6D84"/>
    <w:rsid w:val="005A6E50"/>
    <w:rsid w:val="005A6F98"/>
    <w:rsid w:val="005A73BE"/>
    <w:rsid w:val="005A754B"/>
    <w:rsid w:val="005A75D5"/>
    <w:rsid w:val="005A76D7"/>
    <w:rsid w:val="005A77E0"/>
    <w:rsid w:val="005A77EB"/>
    <w:rsid w:val="005A782B"/>
    <w:rsid w:val="005A7998"/>
    <w:rsid w:val="005A7A67"/>
    <w:rsid w:val="005A7B2B"/>
    <w:rsid w:val="005B0019"/>
    <w:rsid w:val="005B014D"/>
    <w:rsid w:val="005B015D"/>
    <w:rsid w:val="005B0724"/>
    <w:rsid w:val="005B0732"/>
    <w:rsid w:val="005B0B06"/>
    <w:rsid w:val="005B0BA0"/>
    <w:rsid w:val="005B0BF3"/>
    <w:rsid w:val="005B0C00"/>
    <w:rsid w:val="005B0DDB"/>
    <w:rsid w:val="005B0E9D"/>
    <w:rsid w:val="005B0F17"/>
    <w:rsid w:val="005B10DE"/>
    <w:rsid w:val="005B1156"/>
    <w:rsid w:val="005B11CF"/>
    <w:rsid w:val="005B1482"/>
    <w:rsid w:val="005B15AC"/>
    <w:rsid w:val="005B1660"/>
    <w:rsid w:val="005B17FC"/>
    <w:rsid w:val="005B1AF3"/>
    <w:rsid w:val="005B1BDF"/>
    <w:rsid w:val="005B1C43"/>
    <w:rsid w:val="005B216D"/>
    <w:rsid w:val="005B27DD"/>
    <w:rsid w:val="005B288E"/>
    <w:rsid w:val="005B2996"/>
    <w:rsid w:val="005B2D43"/>
    <w:rsid w:val="005B2D59"/>
    <w:rsid w:val="005B2FC4"/>
    <w:rsid w:val="005B307C"/>
    <w:rsid w:val="005B3271"/>
    <w:rsid w:val="005B3833"/>
    <w:rsid w:val="005B3937"/>
    <w:rsid w:val="005B39A4"/>
    <w:rsid w:val="005B39DE"/>
    <w:rsid w:val="005B3A28"/>
    <w:rsid w:val="005B3ABA"/>
    <w:rsid w:val="005B3AE7"/>
    <w:rsid w:val="005B3B4F"/>
    <w:rsid w:val="005B3B72"/>
    <w:rsid w:val="005B3D5C"/>
    <w:rsid w:val="005B3DD5"/>
    <w:rsid w:val="005B3EBC"/>
    <w:rsid w:val="005B3FB5"/>
    <w:rsid w:val="005B4150"/>
    <w:rsid w:val="005B419F"/>
    <w:rsid w:val="005B4253"/>
    <w:rsid w:val="005B446D"/>
    <w:rsid w:val="005B44D1"/>
    <w:rsid w:val="005B4516"/>
    <w:rsid w:val="005B47FF"/>
    <w:rsid w:val="005B48F8"/>
    <w:rsid w:val="005B490D"/>
    <w:rsid w:val="005B4990"/>
    <w:rsid w:val="005B4B16"/>
    <w:rsid w:val="005B4BB1"/>
    <w:rsid w:val="005B4D9F"/>
    <w:rsid w:val="005B5033"/>
    <w:rsid w:val="005B5229"/>
    <w:rsid w:val="005B525C"/>
    <w:rsid w:val="005B5448"/>
    <w:rsid w:val="005B54ED"/>
    <w:rsid w:val="005B55F2"/>
    <w:rsid w:val="005B5731"/>
    <w:rsid w:val="005B5A9C"/>
    <w:rsid w:val="005B5C63"/>
    <w:rsid w:val="005B5E3A"/>
    <w:rsid w:val="005B6604"/>
    <w:rsid w:val="005B6675"/>
    <w:rsid w:val="005B668B"/>
    <w:rsid w:val="005B6750"/>
    <w:rsid w:val="005B685E"/>
    <w:rsid w:val="005B6A8C"/>
    <w:rsid w:val="005B6B29"/>
    <w:rsid w:val="005B6C0C"/>
    <w:rsid w:val="005B6D21"/>
    <w:rsid w:val="005B720F"/>
    <w:rsid w:val="005B734C"/>
    <w:rsid w:val="005B7371"/>
    <w:rsid w:val="005B737A"/>
    <w:rsid w:val="005B758F"/>
    <w:rsid w:val="005B76CB"/>
    <w:rsid w:val="005B7816"/>
    <w:rsid w:val="005B7BE9"/>
    <w:rsid w:val="005B7F1F"/>
    <w:rsid w:val="005C0397"/>
    <w:rsid w:val="005C03EF"/>
    <w:rsid w:val="005C08F4"/>
    <w:rsid w:val="005C0A43"/>
    <w:rsid w:val="005C0B08"/>
    <w:rsid w:val="005C0EE1"/>
    <w:rsid w:val="005C10C2"/>
    <w:rsid w:val="005C111C"/>
    <w:rsid w:val="005C11AA"/>
    <w:rsid w:val="005C1309"/>
    <w:rsid w:val="005C13B1"/>
    <w:rsid w:val="005C1443"/>
    <w:rsid w:val="005C17AA"/>
    <w:rsid w:val="005C193B"/>
    <w:rsid w:val="005C1945"/>
    <w:rsid w:val="005C19C9"/>
    <w:rsid w:val="005C1A30"/>
    <w:rsid w:val="005C1BC2"/>
    <w:rsid w:val="005C1EB8"/>
    <w:rsid w:val="005C2117"/>
    <w:rsid w:val="005C2125"/>
    <w:rsid w:val="005C2314"/>
    <w:rsid w:val="005C233B"/>
    <w:rsid w:val="005C2485"/>
    <w:rsid w:val="005C25CE"/>
    <w:rsid w:val="005C282B"/>
    <w:rsid w:val="005C2B20"/>
    <w:rsid w:val="005C2B2A"/>
    <w:rsid w:val="005C2CE1"/>
    <w:rsid w:val="005C2E5C"/>
    <w:rsid w:val="005C2E88"/>
    <w:rsid w:val="005C2FD8"/>
    <w:rsid w:val="005C31C4"/>
    <w:rsid w:val="005C333D"/>
    <w:rsid w:val="005C38A8"/>
    <w:rsid w:val="005C4070"/>
    <w:rsid w:val="005C4363"/>
    <w:rsid w:val="005C43A5"/>
    <w:rsid w:val="005C4586"/>
    <w:rsid w:val="005C4703"/>
    <w:rsid w:val="005C478C"/>
    <w:rsid w:val="005C47E7"/>
    <w:rsid w:val="005C4AB8"/>
    <w:rsid w:val="005C4BF4"/>
    <w:rsid w:val="005C4DB8"/>
    <w:rsid w:val="005C4DF1"/>
    <w:rsid w:val="005C4DF2"/>
    <w:rsid w:val="005C4FBA"/>
    <w:rsid w:val="005C50A4"/>
    <w:rsid w:val="005C55E7"/>
    <w:rsid w:val="005C5648"/>
    <w:rsid w:val="005C592C"/>
    <w:rsid w:val="005C5A8F"/>
    <w:rsid w:val="005C5D5C"/>
    <w:rsid w:val="005C5FFD"/>
    <w:rsid w:val="005C6270"/>
    <w:rsid w:val="005C6277"/>
    <w:rsid w:val="005C6289"/>
    <w:rsid w:val="005C62F5"/>
    <w:rsid w:val="005C6581"/>
    <w:rsid w:val="005C65B5"/>
    <w:rsid w:val="005C65FB"/>
    <w:rsid w:val="005C6687"/>
    <w:rsid w:val="005C6750"/>
    <w:rsid w:val="005C6899"/>
    <w:rsid w:val="005C6B6E"/>
    <w:rsid w:val="005C6E57"/>
    <w:rsid w:val="005C71B7"/>
    <w:rsid w:val="005C751F"/>
    <w:rsid w:val="005C76A6"/>
    <w:rsid w:val="005C7793"/>
    <w:rsid w:val="005C7C05"/>
    <w:rsid w:val="005C7EAA"/>
    <w:rsid w:val="005D01C2"/>
    <w:rsid w:val="005D06B9"/>
    <w:rsid w:val="005D07D9"/>
    <w:rsid w:val="005D0894"/>
    <w:rsid w:val="005D0930"/>
    <w:rsid w:val="005D0A1A"/>
    <w:rsid w:val="005D0AD8"/>
    <w:rsid w:val="005D1148"/>
    <w:rsid w:val="005D1215"/>
    <w:rsid w:val="005D13E7"/>
    <w:rsid w:val="005D154B"/>
    <w:rsid w:val="005D17B0"/>
    <w:rsid w:val="005D17DE"/>
    <w:rsid w:val="005D1896"/>
    <w:rsid w:val="005D1A71"/>
    <w:rsid w:val="005D1ABF"/>
    <w:rsid w:val="005D1B22"/>
    <w:rsid w:val="005D1D66"/>
    <w:rsid w:val="005D1E9A"/>
    <w:rsid w:val="005D1F75"/>
    <w:rsid w:val="005D1FC9"/>
    <w:rsid w:val="005D22EC"/>
    <w:rsid w:val="005D25C3"/>
    <w:rsid w:val="005D26BA"/>
    <w:rsid w:val="005D2702"/>
    <w:rsid w:val="005D2794"/>
    <w:rsid w:val="005D2AF9"/>
    <w:rsid w:val="005D301D"/>
    <w:rsid w:val="005D3164"/>
    <w:rsid w:val="005D3472"/>
    <w:rsid w:val="005D36AA"/>
    <w:rsid w:val="005D36CF"/>
    <w:rsid w:val="005D370F"/>
    <w:rsid w:val="005D3919"/>
    <w:rsid w:val="005D3A27"/>
    <w:rsid w:val="005D3E22"/>
    <w:rsid w:val="005D3E66"/>
    <w:rsid w:val="005D3EDC"/>
    <w:rsid w:val="005D3FA2"/>
    <w:rsid w:val="005D408B"/>
    <w:rsid w:val="005D4307"/>
    <w:rsid w:val="005D46A0"/>
    <w:rsid w:val="005D4940"/>
    <w:rsid w:val="005D4CE2"/>
    <w:rsid w:val="005D50E0"/>
    <w:rsid w:val="005D5378"/>
    <w:rsid w:val="005D5557"/>
    <w:rsid w:val="005D55C8"/>
    <w:rsid w:val="005D581D"/>
    <w:rsid w:val="005D5C26"/>
    <w:rsid w:val="005D5C8C"/>
    <w:rsid w:val="005D5D4E"/>
    <w:rsid w:val="005D5D5A"/>
    <w:rsid w:val="005D5DA0"/>
    <w:rsid w:val="005D6189"/>
    <w:rsid w:val="005D644C"/>
    <w:rsid w:val="005D6492"/>
    <w:rsid w:val="005D6571"/>
    <w:rsid w:val="005D657E"/>
    <w:rsid w:val="005D65DB"/>
    <w:rsid w:val="005D668F"/>
    <w:rsid w:val="005D66E9"/>
    <w:rsid w:val="005D6703"/>
    <w:rsid w:val="005D67E0"/>
    <w:rsid w:val="005D6881"/>
    <w:rsid w:val="005D6DD3"/>
    <w:rsid w:val="005D6FDB"/>
    <w:rsid w:val="005D703F"/>
    <w:rsid w:val="005D70A2"/>
    <w:rsid w:val="005D7167"/>
    <w:rsid w:val="005D74BB"/>
    <w:rsid w:val="005D7896"/>
    <w:rsid w:val="005D78AE"/>
    <w:rsid w:val="005D7C6A"/>
    <w:rsid w:val="005D7CE9"/>
    <w:rsid w:val="005E05A1"/>
    <w:rsid w:val="005E086D"/>
    <w:rsid w:val="005E0906"/>
    <w:rsid w:val="005E0BD0"/>
    <w:rsid w:val="005E0D5E"/>
    <w:rsid w:val="005E0D9B"/>
    <w:rsid w:val="005E0E62"/>
    <w:rsid w:val="005E0F44"/>
    <w:rsid w:val="005E1150"/>
    <w:rsid w:val="005E127F"/>
    <w:rsid w:val="005E15D1"/>
    <w:rsid w:val="005E1606"/>
    <w:rsid w:val="005E16C3"/>
    <w:rsid w:val="005E19A8"/>
    <w:rsid w:val="005E1A81"/>
    <w:rsid w:val="005E1E28"/>
    <w:rsid w:val="005E202D"/>
    <w:rsid w:val="005E21EB"/>
    <w:rsid w:val="005E230F"/>
    <w:rsid w:val="005E2542"/>
    <w:rsid w:val="005E2AC4"/>
    <w:rsid w:val="005E2B5D"/>
    <w:rsid w:val="005E2CBD"/>
    <w:rsid w:val="005E2CF9"/>
    <w:rsid w:val="005E2DBB"/>
    <w:rsid w:val="005E2FBE"/>
    <w:rsid w:val="005E3016"/>
    <w:rsid w:val="005E310E"/>
    <w:rsid w:val="005E31EC"/>
    <w:rsid w:val="005E339A"/>
    <w:rsid w:val="005E342B"/>
    <w:rsid w:val="005E34ED"/>
    <w:rsid w:val="005E373D"/>
    <w:rsid w:val="005E3825"/>
    <w:rsid w:val="005E3A60"/>
    <w:rsid w:val="005E3ABB"/>
    <w:rsid w:val="005E3B7E"/>
    <w:rsid w:val="005E3BC8"/>
    <w:rsid w:val="005E3C4A"/>
    <w:rsid w:val="005E3EE4"/>
    <w:rsid w:val="005E3F30"/>
    <w:rsid w:val="005E3FE6"/>
    <w:rsid w:val="005E4125"/>
    <w:rsid w:val="005E423C"/>
    <w:rsid w:val="005E441D"/>
    <w:rsid w:val="005E4455"/>
    <w:rsid w:val="005E4492"/>
    <w:rsid w:val="005E4772"/>
    <w:rsid w:val="005E480B"/>
    <w:rsid w:val="005E4D2C"/>
    <w:rsid w:val="005E4D83"/>
    <w:rsid w:val="005E4ED5"/>
    <w:rsid w:val="005E4F0A"/>
    <w:rsid w:val="005E504C"/>
    <w:rsid w:val="005E508C"/>
    <w:rsid w:val="005E53BC"/>
    <w:rsid w:val="005E57E2"/>
    <w:rsid w:val="005E5A25"/>
    <w:rsid w:val="005E5B86"/>
    <w:rsid w:val="005E5BEC"/>
    <w:rsid w:val="005E5D35"/>
    <w:rsid w:val="005E6218"/>
    <w:rsid w:val="005E62EC"/>
    <w:rsid w:val="005E652F"/>
    <w:rsid w:val="005E6534"/>
    <w:rsid w:val="005E6638"/>
    <w:rsid w:val="005E6659"/>
    <w:rsid w:val="005E6725"/>
    <w:rsid w:val="005E673A"/>
    <w:rsid w:val="005E6782"/>
    <w:rsid w:val="005E68E3"/>
    <w:rsid w:val="005E692F"/>
    <w:rsid w:val="005E69DD"/>
    <w:rsid w:val="005E6A7B"/>
    <w:rsid w:val="005E6B47"/>
    <w:rsid w:val="005E6B9D"/>
    <w:rsid w:val="005E6C76"/>
    <w:rsid w:val="005E6CDA"/>
    <w:rsid w:val="005E6E67"/>
    <w:rsid w:val="005E6F8E"/>
    <w:rsid w:val="005E71B7"/>
    <w:rsid w:val="005E71B9"/>
    <w:rsid w:val="005E74E5"/>
    <w:rsid w:val="005E750E"/>
    <w:rsid w:val="005E75A5"/>
    <w:rsid w:val="005E75EC"/>
    <w:rsid w:val="005E78AF"/>
    <w:rsid w:val="005E794C"/>
    <w:rsid w:val="005E7963"/>
    <w:rsid w:val="005E7A46"/>
    <w:rsid w:val="005E7BEE"/>
    <w:rsid w:val="005E7CB7"/>
    <w:rsid w:val="005F00F2"/>
    <w:rsid w:val="005F010A"/>
    <w:rsid w:val="005F064D"/>
    <w:rsid w:val="005F09D8"/>
    <w:rsid w:val="005F0A23"/>
    <w:rsid w:val="005F0D69"/>
    <w:rsid w:val="005F0EB1"/>
    <w:rsid w:val="005F0F2F"/>
    <w:rsid w:val="005F1095"/>
    <w:rsid w:val="005F124A"/>
    <w:rsid w:val="005F1291"/>
    <w:rsid w:val="005F1357"/>
    <w:rsid w:val="005F1511"/>
    <w:rsid w:val="005F15EA"/>
    <w:rsid w:val="005F1775"/>
    <w:rsid w:val="005F185A"/>
    <w:rsid w:val="005F1922"/>
    <w:rsid w:val="005F1B0D"/>
    <w:rsid w:val="005F1F4F"/>
    <w:rsid w:val="005F20D0"/>
    <w:rsid w:val="005F2189"/>
    <w:rsid w:val="005F24AD"/>
    <w:rsid w:val="005F2636"/>
    <w:rsid w:val="005F2687"/>
    <w:rsid w:val="005F29DF"/>
    <w:rsid w:val="005F2BD0"/>
    <w:rsid w:val="005F2D2D"/>
    <w:rsid w:val="005F2EE5"/>
    <w:rsid w:val="005F3196"/>
    <w:rsid w:val="005F3599"/>
    <w:rsid w:val="005F3A74"/>
    <w:rsid w:val="005F3CC3"/>
    <w:rsid w:val="005F3D1C"/>
    <w:rsid w:val="005F40BF"/>
    <w:rsid w:val="005F42E1"/>
    <w:rsid w:val="005F4642"/>
    <w:rsid w:val="005F46C2"/>
    <w:rsid w:val="005F487C"/>
    <w:rsid w:val="005F48AA"/>
    <w:rsid w:val="005F4990"/>
    <w:rsid w:val="005F4B34"/>
    <w:rsid w:val="005F4DC0"/>
    <w:rsid w:val="005F4E7F"/>
    <w:rsid w:val="005F4F06"/>
    <w:rsid w:val="005F4F2B"/>
    <w:rsid w:val="005F51CB"/>
    <w:rsid w:val="005F5384"/>
    <w:rsid w:val="005F55BE"/>
    <w:rsid w:val="005F5A73"/>
    <w:rsid w:val="005F5AF5"/>
    <w:rsid w:val="005F5C68"/>
    <w:rsid w:val="005F5ED2"/>
    <w:rsid w:val="005F6093"/>
    <w:rsid w:val="005F6469"/>
    <w:rsid w:val="005F6B7A"/>
    <w:rsid w:val="005F6B81"/>
    <w:rsid w:val="005F6DBB"/>
    <w:rsid w:val="005F6F5C"/>
    <w:rsid w:val="005F717A"/>
    <w:rsid w:val="005F71D4"/>
    <w:rsid w:val="005F71F4"/>
    <w:rsid w:val="005F7406"/>
    <w:rsid w:val="005F74A0"/>
    <w:rsid w:val="005F784E"/>
    <w:rsid w:val="005F7863"/>
    <w:rsid w:val="005F799F"/>
    <w:rsid w:val="005F7A95"/>
    <w:rsid w:val="005F7B2A"/>
    <w:rsid w:val="005F7EA1"/>
    <w:rsid w:val="00600037"/>
    <w:rsid w:val="006000E5"/>
    <w:rsid w:val="0060014C"/>
    <w:rsid w:val="00600156"/>
    <w:rsid w:val="00600339"/>
    <w:rsid w:val="006004AA"/>
    <w:rsid w:val="00600784"/>
    <w:rsid w:val="00600987"/>
    <w:rsid w:val="006009A6"/>
    <w:rsid w:val="006009D6"/>
    <w:rsid w:val="00600A92"/>
    <w:rsid w:val="00600AEA"/>
    <w:rsid w:val="00600C3F"/>
    <w:rsid w:val="00600DDB"/>
    <w:rsid w:val="0060102C"/>
    <w:rsid w:val="00601102"/>
    <w:rsid w:val="006013C0"/>
    <w:rsid w:val="00601647"/>
    <w:rsid w:val="006016A2"/>
    <w:rsid w:val="006016EC"/>
    <w:rsid w:val="006017A8"/>
    <w:rsid w:val="0060184D"/>
    <w:rsid w:val="00601BBA"/>
    <w:rsid w:val="00601F15"/>
    <w:rsid w:val="00602139"/>
    <w:rsid w:val="00602209"/>
    <w:rsid w:val="00602322"/>
    <w:rsid w:val="00602AC5"/>
    <w:rsid w:val="00603058"/>
    <w:rsid w:val="0060328A"/>
    <w:rsid w:val="0060338E"/>
    <w:rsid w:val="00603419"/>
    <w:rsid w:val="006035C3"/>
    <w:rsid w:val="006035CA"/>
    <w:rsid w:val="006035ED"/>
    <w:rsid w:val="00603698"/>
    <w:rsid w:val="00603A27"/>
    <w:rsid w:val="006042BC"/>
    <w:rsid w:val="006044BA"/>
    <w:rsid w:val="00604545"/>
    <w:rsid w:val="006045D7"/>
    <w:rsid w:val="00604730"/>
    <w:rsid w:val="0060475D"/>
    <w:rsid w:val="006049AC"/>
    <w:rsid w:val="00604A37"/>
    <w:rsid w:val="00604B1F"/>
    <w:rsid w:val="00604B68"/>
    <w:rsid w:val="00604FFF"/>
    <w:rsid w:val="00605027"/>
    <w:rsid w:val="00605142"/>
    <w:rsid w:val="00605395"/>
    <w:rsid w:val="00605985"/>
    <w:rsid w:val="00605A54"/>
    <w:rsid w:val="00605B43"/>
    <w:rsid w:val="00605CCA"/>
    <w:rsid w:val="00605F18"/>
    <w:rsid w:val="006061D7"/>
    <w:rsid w:val="00606335"/>
    <w:rsid w:val="006064E1"/>
    <w:rsid w:val="0060670F"/>
    <w:rsid w:val="00606D0D"/>
    <w:rsid w:val="006073A6"/>
    <w:rsid w:val="006076B3"/>
    <w:rsid w:val="00607B99"/>
    <w:rsid w:val="00607D61"/>
    <w:rsid w:val="00607D62"/>
    <w:rsid w:val="00607FDB"/>
    <w:rsid w:val="0061026B"/>
    <w:rsid w:val="006103A3"/>
    <w:rsid w:val="006103EA"/>
    <w:rsid w:val="00610496"/>
    <w:rsid w:val="006109ED"/>
    <w:rsid w:val="00610B74"/>
    <w:rsid w:val="00610B7E"/>
    <w:rsid w:val="00610CF6"/>
    <w:rsid w:val="00610F25"/>
    <w:rsid w:val="00611270"/>
    <w:rsid w:val="00611369"/>
    <w:rsid w:val="0061154C"/>
    <w:rsid w:val="006116CF"/>
    <w:rsid w:val="00611967"/>
    <w:rsid w:val="00612206"/>
    <w:rsid w:val="00612287"/>
    <w:rsid w:val="00612543"/>
    <w:rsid w:val="0061256E"/>
    <w:rsid w:val="0061273A"/>
    <w:rsid w:val="00612954"/>
    <w:rsid w:val="00612A79"/>
    <w:rsid w:val="00612B35"/>
    <w:rsid w:val="00612E5E"/>
    <w:rsid w:val="00612F42"/>
    <w:rsid w:val="00613077"/>
    <w:rsid w:val="00613136"/>
    <w:rsid w:val="006133D5"/>
    <w:rsid w:val="00613425"/>
    <w:rsid w:val="006134C7"/>
    <w:rsid w:val="00613724"/>
    <w:rsid w:val="00613969"/>
    <w:rsid w:val="0061396B"/>
    <w:rsid w:val="00613B00"/>
    <w:rsid w:val="00613E3D"/>
    <w:rsid w:val="00613F6F"/>
    <w:rsid w:val="00613F9B"/>
    <w:rsid w:val="0061410C"/>
    <w:rsid w:val="00614275"/>
    <w:rsid w:val="00614838"/>
    <w:rsid w:val="00614912"/>
    <w:rsid w:val="00614969"/>
    <w:rsid w:val="00614BA9"/>
    <w:rsid w:val="00614D0B"/>
    <w:rsid w:val="00614D6D"/>
    <w:rsid w:val="00614D6E"/>
    <w:rsid w:val="00614EA1"/>
    <w:rsid w:val="00614EEB"/>
    <w:rsid w:val="00614F0B"/>
    <w:rsid w:val="00615108"/>
    <w:rsid w:val="006153C5"/>
    <w:rsid w:val="006153EF"/>
    <w:rsid w:val="006155EE"/>
    <w:rsid w:val="00615797"/>
    <w:rsid w:val="006157B2"/>
    <w:rsid w:val="006157FE"/>
    <w:rsid w:val="00615841"/>
    <w:rsid w:val="0061588D"/>
    <w:rsid w:val="00615C41"/>
    <w:rsid w:val="0061609F"/>
    <w:rsid w:val="006161A1"/>
    <w:rsid w:val="006161E2"/>
    <w:rsid w:val="006164BD"/>
    <w:rsid w:val="006166BC"/>
    <w:rsid w:val="00616746"/>
    <w:rsid w:val="006167AB"/>
    <w:rsid w:val="00616C19"/>
    <w:rsid w:val="00616CE3"/>
    <w:rsid w:val="006171B5"/>
    <w:rsid w:val="0061721E"/>
    <w:rsid w:val="0061722D"/>
    <w:rsid w:val="00617245"/>
    <w:rsid w:val="006172C3"/>
    <w:rsid w:val="00617484"/>
    <w:rsid w:val="006174B6"/>
    <w:rsid w:val="006176C5"/>
    <w:rsid w:val="00617893"/>
    <w:rsid w:val="00617BF5"/>
    <w:rsid w:val="00617CC3"/>
    <w:rsid w:val="00617DF1"/>
    <w:rsid w:val="00617E9B"/>
    <w:rsid w:val="00620061"/>
    <w:rsid w:val="00620259"/>
    <w:rsid w:val="006202CF"/>
    <w:rsid w:val="00620350"/>
    <w:rsid w:val="006203A1"/>
    <w:rsid w:val="006203C9"/>
    <w:rsid w:val="00620468"/>
    <w:rsid w:val="006204FE"/>
    <w:rsid w:val="0062065F"/>
    <w:rsid w:val="00620707"/>
    <w:rsid w:val="0062087B"/>
    <w:rsid w:val="00620888"/>
    <w:rsid w:val="0062097F"/>
    <w:rsid w:val="00620C4F"/>
    <w:rsid w:val="00620CF2"/>
    <w:rsid w:val="00620D22"/>
    <w:rsid w:val="00620DF5"/>
    <w:rsid w:val="00620E65"/>
    <w:rsid w:val="006210C7"/>
    <w:rsid w:val="00621557"/>
    <w:rsid w:val="00621583"/>
    <w:rsid w:val="00621E9E"/>
    <w:rsid w:val="00621F63"/>
    <w:rsid w:val="00622409"/>
    <w:rsid w:val="00622459"/>
    <w:rsid w:val="006225F3"/>
    <w:rsid w:val="006228AC"/>
    <w:rsid w:val="006228B2"/>
    <w:rsid w:val="006229DD"/>
    <w:rsid w:val="00622C9D"/>
    <w:rsid w:val="00622E5B"/>
    <w:rsid w:val="006233AB"/>
    <w:rsid w:val="00623A45"/>
    <w:rsid w:val="00623A72"/>
    <w:rsid w:val="00623CC5"/>
    <w:rsid w:val="00623D81"/>
    <w:rsid w:val="00623F12"/>
    <w:rsid w:val="00624038"/>
    <w:rsid w:val="006240A6"/>
    <w:rsid w:val="006240F3"/>
    <w:rsid w:val="00624280"/>
    <w:rsid w:val="0062442F"/>
    <w:rsid w:val="00624525"/>
    <w:rsid w:val="006246EB"/>
    <w:rsid w:val="006252D3"/>
    <w:rsid w:val="006253B3"/>
    <w:rsid w:val="006255D0"/>
    <w:rsid w:val="0062563B"/>
    <w:rsid w:val="00625925"/>
    <w:rsid w:val="00625AC4"/>
    <w:rsid w:val="00625D37"/>
    <w:rsid w:val="00625D53"/>
    <w:rsid w:val="00625E56"/>
    <w:rsid w:val="0062615E"/>
    <w:rsid w:val="006261B9"/>
    <w:rsid w:val="00626409"/>
    <w:rsid w:val="00626569"/>
    <w:rsid w:val="00626693"/>
    <w:rsid w:val="006266AB"/>
    <w:rsid w:val="00626765"/>
    <w:rsid w:val="00626BE9"/>
    <w:rsid w:val="00626D78"/>
    <w:rsid w:val="00626EE5"/>
    <w:rsid w:val="00626F7B"/>
    <w:rsid w:val="00626FC8"/>
    <w:rsid w:val="006270DF"/>
    <w:rsid w:val="00627323"/>
    <w:rsid w:val="00627449"/>
    <w:rsid w:val="006274AD"/>
    <w:rsid w:val="00627579"/>
    <w:rsid w:val="006275DB"/>
    <w:rsid w:val="00627603"/>
    <w:rsid w:val="00627711"/>
    <w:rsid w:val="006277D7"/>
    <w:rsid w:val="00627B67"/>
    <w:rsid w:val="00627C47"/>
    <w:rsid w:val="00627C74"/>
    <w:rsid w:val="00627C84"/>
    <w:rsid w:val="00627DD9"/>
    <w:rsid w:val="00627E08"/>
    <w:rsid w:val="00627FFB"/>
    <w:rsid w:val="0063028D"/>
    <w:rsid w:val="006302A9"/>
    <w:rsid w:val="006302DF"/>
    <w:rsid w:val="006302FB"/>
    <w:rsid w:val="00630933"/>
    <w:rsid w:val="006309D1"/>
    <w:rsid w:val="00630B44"/>
    <w:rsid w:val="00630BA0"/>
    <w:rsid w:val="00630C86"/>
    <w:rsid w:val="006310C9"/>
    <w:rsid w:val="006311B7"/>
    <w:rsid w:val="00631406"/>
    <w:rsid w:val="006315E6"/>
    <w:rsid w:val="0063172C"/>
    <w:rsid w:val="00631BD4"/>
    <w:rsid w:val="00631C1F"/>
    <w:rsid w:val="00631E6A"/>
    <w:rsid w:val="00631FA5"/>
    <w:rsid w:val="006321DC"/>
    <w:rsid w:val="00632256"/>
    <w:rsid w:val="00632265"/>
    <w:rsid w:val="006322CC"/>
    <w:rsid w:val="006323E2"/>
    <w:rsid w:val="0063243B"/>
    <w:rsid w:val="00632AEC"/>
    <w:rsid w:val="00632E28"/>
    <w:rsid w:val="006330E1"/>
    <w:rsid w:val="006330EC"/>
    <w:rsid w:val="00633A9B"/>
    <w:rsid w:val="00633AEB"/>
    <w:rsid w:val="00633CB9"/>
    <w:rsid w:val="00634339"/>
    <w:rsid w:val="006343AD"/>
    <w:rsid w:val="00634418"/>
    <w:rsid w:val="00634615"/>
    <w:rsid w:val="0063483B"/>
    <w:rsid w:val="0063497F"/>
    <w:rsid w:val="0063499D"/>
    <w:rsid w:val="00634D50"/>
    <w:rsid w:val="00634DD3"/>
    <w:rsid w:val="00634DF7"/>
    <w:rsid w:val="006352D2"/>
    <w:rsid w:val="0063530D"/>
    <w:rsid w:val="00635360"/>
    <w:rsid w:val="00635660"/>
    <w:rsid w:val="00635725"/>
    <w:rsid w:val="00635957"/>
    <w:rsid w:val="00635DB6"/>
    <w:rsid w:val="00635FAD"/>
    <w:rsid w:val="00636113"/>
    <w:rsid w:val="006365AF"/>
    <w:rsid w:val="0063687E"/>
    <w:rsid w:val="00636E46"/>
    <w:rsid w:val="00636EE5"/>
    <w:rsid w:val="00637116"/>
    <w:rsid w:val="006371DE"/>
    <w:rsid w:val="00637563"/>
    <w:rsid w:val="00637762"/>
    <w:rsid w:val="00637779"/>
    <w:rsid w:val="006377E7"/>
    <w:rsid w:val="006379BC"/>
    <w:rsid w:val="006379CC"/>
    <w:rsid w:val="006379D4"/>
    <w:rsid w:val="00637B33"/>
    <w:rsid w:val="00637C85"/>
    <w:rsid w:val="00637CCB"/>
    <w:rsid w:val="006400C1"/>
    <w:rsid w:val="00640278"/>
    <w:rsid w:val="006402DD"/>
    <w:rsid w:val="006405B2"/>
    <w:rsid w:val="0064061C"/>
    <w:rsid w:val="00640656"/>
    <w:rsid w:val="006408C6"/>
    <w:rsid w:val="006409D7"/>
    <w:rsid w:val="00640B76"/>
    <w:rsid w:val="00640D58"/>
    <w:rsid w:val="00640E50"/>
    <w:rsid w:val="00641269"/>
    <w:rsid w:val="006412A6"/>
    <w:rsid w:val="006412F5"/>
    <w:rsid w:val="006413A6"/>
    <w:rsid w:val="006413B5"/>
    <w:rsid w:val="00641471"/>
    <w:rsid w:val="00641952"/>
    <w:rsid w:val="00641A01"/>
    <w:rsid w:val="00641A4E"/>
    <w:rsid w:val="00641BC3"/>
    <w:rsid w:val="00641CAC"/>
    <w:rsid w:val="00641CB6"/>
    <w:rsid w:val="00641D17"/>
    <w:rsid w:val="00641E3E"/>
    <w:rsid w:val="00641F54"/>
    <w:rsid w:val="006420BF"/>
    <w:rsid w:val="00642153"/>
    <w:rsid w:val="006421A1"/>
    <w:rsid w:val="0064247F"/>
    <w:rsid w:val="00642942"/>
    <w:rsid w:val="00642B59"/>
    <w:rsid w:val="00642B9D"/>
    <w:rsid w:val="00642BA0"/>
    <w:rsid w:val="006430C1"/>
    <w:rsid w:val="006431C2"/>
    <w:rsid w:val="00643248"/>
    <w:rsid w:val="0064334C"/>
    <w:rsid w:val="0064384D"/>
    <w:rsid w:val="00643A04"/>
    <w:rsid w:val="00643F41"/>
    <w:rsid w:val="0064402E"/>
    <w:rsid w:val="00644224"/>
    <w:rsid w:val="00644320"/>
    <w:rsid w:val="0064453D"/>
    <w:rsid w:val="00644808"/>
    <w:rsid w:val="0064491F"/>
    <w:rsid w:val="00644B65"/>
    <w:rsid w:val="00644DA1"/>
    <w:rsid w:val="00644E61"/>
    <w:rsid w:val="00644E7D"/>
    <w:rsid w:val="006450BC"/>
    <w:rsid w:val="0064526D"/>
    <w:rsid w:val="00645380"/>
    <w:rsid w:val="00645465"/>
    <w:rsid w:val="0064564D"/>
    <w:rsid w:val="00645C14"/>
    <w:rsid w:val="00645C1C"/>
    <w:rsid w:val="00645D30"/>
    <w:rsid w:val="00645D45"/>
    <w:rsid w:val="00645E0A"/>
    <w:rsid w:val="00645E1C"/>
    <w:rsid w:val="0064608D"/>
    <w:rsid w:val="00646125"/>
    <w:rsid w:val="00646134"/>
    <w:rsid w:val="0064635D"/>
    <w:rsid w:val="006466DA"/>
    <w:rsid w:val="006468C3"/>
    <w:rsid w:val="00646A83"/>
    <w:rsid w:val="00646AF0"/>
    <w:rsid w:val="00646BA9"/>
    <w:rsid w:val="00646ECF"/>
    <w:rsid w:val="00647004"/>
    <w:rsid w:val="00647108"/>
    <w:rsid w:val="00647276"/>
    <w:rsid w:val="00647331"/>
    <w:rsid w:val="0064739D"/>
    <w:rsid w:val="006474EF"/>
    <w:rsid w:val="00647C6F"/>
    <w:rsid w:val="00647DFB"/>
    <w:rsid w:val="00647E27"/>
    <w:rsid w:val="00650341"/>
    <w:rsid w:val="00650542"/>
    <w:rsid w:val="0065064F"/>
    <w:rsid w:val="0065072D"/>
    <w:rsid w:val="0065096D"/>
    <w:rsid w:val="00650B23"/>
    <w:rsid w:val="00650C63"/>
    <w:rsid w:val="00650F34"/>
    <w:rsid w:val="006511CD"/>
    <w:rsid w:val="0065125C"/>
    <w:rsid w:val="006513DD"/>
    <w:rsid w:val="00651417"/>
    <w:rsid w:val="00651BCC"/>
    <w:rsid w:val="00651C6A"/>
    <w:rsid w:val="00651E1D"/>
    <w:rsid w:val="00651E5C"/>
    <w:rsid w:val="00651E83"/>
    <w:rsid w:val="00652443"/>
    <w:rsid w:val="0065253B"/>
    <w:rsid w:val="006527E5"/>
    <w:rsid w:val="00652BD6"/>
    <w:rsid w:val="00652D0E"/>
    <w:rsid w:val="00652D6C"/>
    <w:rsid w:val="00652FDC"/>
    <w:rsid w:val="0065328B"/>
    <w:rsid w:val="0065338C"/>
    <w:rsid w:val="0065347A"/>
    <w:rsid w:val="00653549"/>
    <w:rsid w:val="00653AE0"/>
    <w:rsid w:val="00653C13"/>
    <w:rsid w:val="006540F8"/>
    <w:rsid w:val="00654197"/>
    <w:rsid w:val="00654297"/>
    <w:rsid w:val="0065436B"/>
    <w:rsid w:val="00654971"/>
    <w:rsid w:val="00654A60"/>
    <w:rsid w:val="00654E63"/>
    <w:rsid w:val="00654FBB"/>
    <w:rsid w:val="00654FD2"/>
    <w:rsid w:val="00654FD6"/>
    <w:rsid w:val="006550C7"/>
    <w:rsid w:val="00655153"/>
    <w:rsid w:val="006553D0"/>
    <w:rsid w:val="0065568D"/>
    <w:rsid w:val="00655759"/>
    <w:rsid w:val="006557F2"/>
    <w:rsid w:val="00655996"/>
    <w:rsid w:val="00655A81"/>
    <w:rsid w:val="00655C28"/>
    <w:rsid w:val="00655C95"/>
    <w:rsid w:val="00655E24"/>
    <w:rsid w:val="0065637D"/>
    <w:rsid w:val="00656478"/>
    <w:rsid w:val="0065651C"/>
    <w:rsid w:val="0065654F"/>
    <w:rsid w:val="006565A9"/>
    <w:rsid w:val="00656627"/>
    <w:rsid w:val="006568E0"/>
    <w:rsid w:val="00656C08"/>
    <w:rsid w:val="00656EF8"/>
    <w:rsid w:val="00656EFD"/>
    <w:rsid w:val="00657461"/>
    <w:rsid w:val="0065767E"/>
    <w:rsid w:val="00657681"/>
    <w:rsid w:val="006576E0"/>
    <w:rsid w:val="00657785"/>
    <w:rsid w:val="00657873"/>
    <w:rsid w:val="006578AB"/>
    <w:rsid w:val="006578CE"/>
    <w:rsid w:val="00657CA3"/>
    <w:rsid w:val="00657E47"/>
    <w:rsid w:val="00657ED0"/>
    <w:rsid w:val="00657F6C"/>
    <w:rsid w:val="00657F84"/>
    <w:rsid w:val="00660086"/>
    <w:rsid w:val="006600F2"/>
    <w:rsid w:val="006603B1"/>
    <w:rsid w:val="00660DB2"/>
    <w:rsid w:val="00661452"/>
    <w:rsid w:val="0066147E"/>
    <w:rsid w:val="00661B3D"/>
    <w:rsid w:val="00661BB3"/>
    <w:rsid w:val="00661C9F"/>
    <w:rsid w:val="00661D78"/>
    <w:rsid w:val="00661E26"/>
    <w:rsid w:val="00661EFD"/>
    <w:rsid w:val="00662057"/>
    <w:rsid w:val="006620C3"/>
    <w:rsid w:val="00662230"/>
    <w:rsid w:val="0066225E"/>
    <w:rsid w:val="0066281B"/>
    <w:rsid w:val="00662A33"/>
    <w:rsid w:val="00662A43"/>
    <w:rsid w:val="00662A93"/>
    <w:rsid w:val="00662B94"/>
    <w:rsid w:val="00662E5C"/>
    <w:rsid w:val="006630F7"/>
    <w:rsid w:val="0066330A"/>
    <w:rsid w:val="0066331C"/>
    <w:rsid w:val="00663434"/>
    <w:rsid w:val="00663712"/>
    <w:rsid w:val="00663892"/>
    <w:rsid w:val="006639F1"/>
    <w:rsid w:val="00663A87"/>
    <w:rsid w:val="00663B5D"/>
    <w:rsid w:val="00663CA2"/>
    <w:rsid w:val="0066462F"/>
    <w:rsid w:val="0066469A"/>
    <w:rsid w:val="00664C50"/>
    <w:rsid w:val="00664C53"/>
    <w:rsid w:val="00664F8E"/>
    <w:rsid w:val="00665306"/>
    <w:rsid w:val="0066531A"/>
    <w:rsid w:val="006654E1"/>
    <w:rsid w:val="00665A5F"/>
    <w:rsid w:val="00665B53"/>
    <w:rsid w:val="00665B84"/>
    <w:rsid w:val="00665D5C"/>
    <w:rsid w:val="00665DB5"/>
    <w:rsid w:val="00666013"/>
    <w:rsid w:val="00666054"/>
    <w:rsid w:val="006662B8"/>
    <w:rsid w:val="00666416"/>
    <w:rsid w:val="0066661F"/>
    <w:rsid w:val="006666A6"/>
    <w:rsid w:val="0066673D"/>
    <w:rsid w:val="006667BD"/>
    <w:rsid w:val="006668FA"/>
    <w:rsid w:val="00666AF6"/>
    <w:rsid w:val="00666BBA"/>
    <w:rsid w:val="00666BD8"/>
    <w:rsid w:val="00666C1C"/>
    <w:rsid w:val="00666DB3"/>
    <w:rsid w:val="00666DD0"/>
    <w:rsid w:val="00667176"/>
    <w:rsid w:val="00667322"/>
    <w:rsid w:val="0066739B"/>
    <w:rsid w:val="00667457"/>
    <w:rsid w:val="006676B6"/>
    <w:rsid w:val="006679C2"/>
    <w:rsid w:val="006679C9"/>
    <w:rsid w:val="00667A2A"/>
    <w:rsid w:val="00667C43"/>
    <w:rsid w:val="00667D22"/>
    <w:rsid w:val="00667E89"/>
    <w:rsid w:val="00670035"/>
    <w:rsid w:val="00670054"/>
    <w:rsid w:val="00670329"/>
    <w:rsid w:val="0067068C"/>
    <w:rsid w:val="006706AE"/>
    <w:rsid w:val="0067080A"/>
    <w:rsid w:val="00670864"/>
    <w:rsid w:val="00670FF8"/>
    <w:rsid w:val="006710E1"/>
    <w:rsid w:val="00671334"/>
    <w:rsid w:val="00671497"/>
    <w:rsid w:val="006718A9"/>
    <w:rsid w:val="0067191B"/>
    <w:rsid w:val="00671A53"/>
    <w:rsid w:val="00671E18"/>
    <w:rsid w:val="00671F40"/>
    <w:rsid w:val="006728CF"/>
    <w:rsid w:val="0067299F"/>
    <w:rsid w:val="00672C08"/>
    <w:rsid w:val="00672D35"/>
    <w:rsid w:val="00672EBC"/>
    <w:rsid w:val="00673191"/>
    <w:rsid w:val="006731E7"/>
    <w:rsid w:val="00673418"/>
    <w:rsid w:val="006734DA"/>
    <w:rsid w:val="006736D5"/>
    <w:rsid w:val="006739CA"/>
    <w:rsid w:val="00673AB1"/>
    <w:rsid w:val="00673E69"/>
    <w:rsid w:val="00673EA9"/>
    <w:rsid w:val="00673FEF"/>
    <w:rsid w:val="0067411B"/>
    <w:rsid w:val="0067449A"/>
    <w:rsid w:val="006744A2"/>
    <w:rsid w:val="00674559"/>
    <w:rsid w:val="006745FB"/>
    <w:rsid w:val="00674E9F"/>
    <w:rsid w:val="0067502B"/>
    <w:rsid w:val="0067506E"/>
    <w:rsid w:val="0067528B"/>
    <w:rsid w:val="006755D1"/>
    <w:rsid w:val="006756C1"/>
    <w:rsid w:val="00675821"/>
    <w:rsid w:val="00675B0A"/>
    <w:rsid w:val="00675B1B"/>
    <w:rsid w:val="00675C28"/>
    <w:rsid w:val="00676089"/>
    <w:rsid w:val="006763EA"/>
    <w:rsid w:val="006763F4"/>
    <w:rsid w:val="00676481"/>
    <w:rsid w:val="00676740"/>
    <w:rsid w:val="006767D3"/>
    <w:rsid w:val="006767F6"/>
    <w:rsid w:val="00676955"/>
    <w:rsid w:val="00676CE6"/>
    <w:rsid w:val="00676D53"/>
    <w:rsid w:val="00676DFE"/>
    <w:rsid w:val="00676E2F"/>
    <w:rsid w:val="00677018"/>
    <w:rsid w:val="006770DD"/>
    <w:rsid w:val="00677507"/>
    <w:rsid w:val="0067773A"/>
    <w:rsid w:val="006779DA"/>
    <w:rsid w:val="00677D25"/>
    <w:rsid w:val="00677DF4"/>
    <w:rsid w:val="00677FD3"/>
    <w:rsid w:val="00680200"/>
    <w:rsid w:val="00680387"/>
    <w:rsid w:val="00680652"/>
    <w:rsid w:val="006806EF"/>
    <w:rsid w:val="006808F8"/>
    <w:rsid w:val="006808FB"/>
    <w:rsid w:val="0068090C"/>
    <w:rsid w:val="00680B2B"/>
    <w:rsid w:val="00680BE1"/>
    <w:rsid w:val="00680ECE"/>
    <w:rsid w:val="006810B1"/>
    <w:rsid w:val="00681225"/>
    <w:rsid w:val="006813DB"/>
    <w:rsid w:val="0068164B"/>
    <w:rsid w:val="00681876"/>
    <w:rsid w:val="00681A02"/>
    <w:rsid w:val="00681B43"/>
    <w:rsid w:val="00681D68"/>
    <w:rsid w:val="00681D90"/>
    <w:rsid w:val="00681FF4"/>
    <w:rsid w:val="00682227"/>
    <w:rsid w:val="0068224B"/>
    <w:rsid w:val="0068276E"/>
    <w:rsid w:val="00682851"/>
    <w:rsid w:val="00682917"/>
    <w:rsid w:val="00682A63"/>
    <w:rsid w:val="00682ABF"/>
    <w:rsid w:val="00682F1A"/>
    <w:rsid w:val="00683317"/>
    <w:rsid w:val="0068346A"/>
    <w:rsid w:val="00683906"/>
    <w:rsid w:val="00683A95"/>
    <w:rsid w:val="00683B28"/>
    <w:rsid w:val="00683B92"/>
    <w:rsid w:val="00683E80"/>
    <w:rsid w:val="006841AD"/>
    <w:rsid w:val="00684289"/>
    <w:rsid w:val="006842EC"/>
    <w:rsid w:val="00684452"/>
    <w:rsid w:val="006844AD"/>
    <w:rsid w:val="00684632"/>
    <w:rsid w:val="00684888"/>
    <w:rsid w:val="006848C1"/>
    <w:rsid w:val="00684C62"/>
    <w:rsid w:val="00684DF8"/>
    <w:rsid w:val="00684F07"/>
    <w:rsid w:val="006850C2"/>
    <w:rsid w:val="00685339"/>
    <w:rsid w:val="00685370"/>
    <w:rsid w:val="00685418"/>
    <w:rsid w:val="00685529"/>
    <w:rsid w:val="00685571"/>
    <w:rsid w:val="006855F2"/>
    <w:rsid w:val="00685842"/>
    <w:rsid w:val="006858C5"/>
    <w:rsid w:val="00685A02"/>
    <w:rsid w:val="00685CE7"/>
    <w:rsid w:val="00686474"/>
    <w:rsid w:val="00686526"/>
    <w:rsid w:val="00686576"/>
    <w:rsid w:val="00686647"/>
    <w:rsid w:val="00686680"/>
    <w:rsid w:val="006867C3"/>
    <w:rsid w:val="00686926"/>
    <w:rsid w:val="006869B1"/>
    <w:rsid w:val="00686C03"/>
    <w:rsid w:val="00686C9B"/>
    <w:rsid w:val="00686CC1"/>
    <w:rsid w:val="00686E47"/>
    <w:rsid w:val="00686EC4"/>
    <w:rsid w:val="00686FB5"/>
    <w:rsid w:val="00687161"/>
    <w:rsid w:val="006871E0"/>
    <w:rsid w:val="0068725D"/>
    <w:rsid w:val="006875E2"/>
    <w:rsid w:val="006876C5"/>
    <w:rsid w:val="00687821"/>
    <w:rsid w:val="00687982"/>
    <w:rsid w:val="00687CFE"/>
    <w:rsid w:val="00687F8C"/>
    <w:rsid w:val="0069013A"/>
    <w:rsid w:val="00690438"/>
    <w:rsid w:val="006906D6"/>
    <w:rsid w:val="00690816"/>
    <w:rsid w:val="00690882"/>
    <w:rsid w:val="00690998"/>
    <w:rsid w:val="00690A52"/>
    <w:rsid w:val="00690C3A"/>
    <w:rsid w:val="00690F1D"/>
    <w:rsid w:val="00691531"/>
    <w:rsid w:val="00691670"/>
    <w:rsid w:val="00691750"/>
    <w:rsid w:val="006917F9"/>
    <w:rsid w:val="00691801"/>
    <w:rsid w:val="00691992"/>
    <w:rsid w:val="006919AC"/>
    <w:rsid w:val="00691CB6"/>
    <w:rsid w:val="00691E4B"/>
    <w:rsid w:val="00691EA3"/>
    <w:rsid w:val="00692189"/>
    <w:rsid w:val="006921B1"/>
    <w:rsid w:val="0069230B"/>
    <w:rsid w:val="0069242A"/>
    <w:rsid w:val="00692582"/>
    <w:rsid w:val="0069268F"/>
    <w:rsid w:val="00692743"/>
    <w:rsid w:val="00692A42"/>
    <w:rsid w:val="00692B57"/>
    <w:rsid w:val="00692C03"/>
    <w:rsid w:val="00692DCE"/>
    <w:rsid w:val="00692F07"/>
    <w:rsid w:val="00692F8E"/>
    <w:rsid w:val="00693237"/>
    <w:rsid w:val="006935D1"/>
    <w:rsid w:val="006937BD"/>
    <w:rsid w:val="006937D7"/>
    <w:rsid w:val="0069397F"/>
    <w:rsid w:val="00693C74"/>
    <w:rsid w:val="00693F29"/>
    <w:rsid w:val="00693F2C"/>
    <w:rsid w:val="00693FFF"/>
    <w:rsid w:val="00694868"/>
    <w:rsid w:val="00694922"/>
    <w:rsid w:val="006949DF"/>
    <w:rsid w:val="00694A35"/>
    <w:rsid w:val="00694B73"/>
    <w:rsid w:val="00694BF7"/>
    <w:rsid w:val="00694C00"/>
    <w:rsid w:val="00694F35"/>
    <w:rsid w:val="00694F66"/>
    <w:rsid w:val="00694F7E"/>
    <w:rsid w:val="006950D5"/>
    <w:rsid w:val="00695217"/>
    <w:rsid w:val="00695285"/>
    <w:rsid w:val="006953BE"/>
    <w:rsid w:val="006955F3"/>
    <w:rsid w:val="006956A7"/>
    <w:rsid w:val="0069571D"/>
    <w:rsid w:val="00695946"/>
    <w:rsid w:val="006959BA"/>
    <w:rsid w:val="00695A88"/>
    <w:rsid w:val="00695B01"/>
    <w:rsid w:val="00695D9D"/>
    <w:rsid w:val="00695DA4"/>
    <w:rsid w:val="00696049"/>
    <w:rsid w:val="006960FC"/>
    <w:rsid w:val="00696419"/>
    <w:rsid w:val="0069645C"/>
    <w:rsid w:val="0069647A"/>
    <w:rsid w:val="00696819"/>
    <w:rsid w:val="00696C07"/>
    <w:rsid w:val="00696EB6"/>
    <w:rsid w:val="00697329"/>
    <w:rsid w:val="0069739D"/>
    <w:rsid w:val="006973A6"/>
    <w:rsid w:val="0069740E"/>
    <w:rsid w:val="00697564"/>
    <w:rsid w:val="00697776"/>
    <w:rsid w:val="0069781F"/>
    <w:rsid w:val="00697C6F"/>
    <w:rsid w:val="00697D00"/>
    <w:rsid w:val="00697D80"/>
    <w:rsid w:val="00697FCC"/>
    <w:rsid w:val="006A007A"/>
    <w:rsid w:val="006A0364"/>
    <w:rsid w:val="006A04ED"/>
    <w:rsid w:val="006A05E5"/>
    <w:rsid w:val="006A0645"/>
    <w:rsid w:val="006A0653"/>
    <w:rsid w:val="006A074C"/>
    <w:rsid w:val="006A0E32"/>
    <w:rsid w:val="006A0F97"/>
    <w:rsid w:val="006A11A3"/>
    <w:rsid w:val="006A13EE"/>
    <w:rsid w:val="006A14F7"/>
    <w:rsid w:val="006A17AE"/>
    <w:rsid w:val="006A1836"/>
    <w:rsid w:val="006A1983"/>
    <w:rsid w:val="006A1A1F"/>
    <w:rsid w:val="006A1AED"/>
    <w:rsid w:val="006A1D17"/>
    <w:rsid w:val="006A1E2B"/>
    <w:rsid w:val="006A1ED0"/>
    <w:rsid w:val="006A2049"/>
    <w:rsid w:val="006A2318"/>
    <w:rsid w:val="006A24C3"/>
    <w:rsid w:val="006A24F2"/>
    <w:rsid w:val="006A2551"/>
    <w:rsid w:val="006A2801"/>
    <w:rsid w:val="006A2CFE"/>
    <w:rsid w:val="006A2D3D"/>
    <w:rsid w:val="006A2F83"/>
    <w:rsid w:val="006A322A"/>
    <w:rsid w:val="006A32BE"/>
    <w:rsid w:val="006A32CF"/>
    <w:rsid w:val="006A32F2"/>
    <w:rsid w:val="006A335B"/>
    <w:rsid w:val="006A3431"/>
    <w:rsid w:val="006A361F"/>
    <w:rsid w:val="006A3766"/>
    <w:rsid w:val="006A378C"/>
    <w:rsid w:val="006A3CE3"/>
    <w:rsid w:val="006A3EB1"/>
    <w:rsid w:val="006A3ECD"/>
    <w:rsid w:val="006A4107"/>
    <w:rsid w:val="006A4348"/>
    <w:rsid w:val="006A46C7"/>
    <w:rsid w:val="006A46DC"/>
    <w:rsid w:val="006A46E0"/>
    <w:rsid w:val="006A4BBB"/>
    <w:rsid w:val="006A4BED"/>
    <w:rsid w:val="006A4E90"/>
    <w:rsid w:val="006A5270"/>
    <w:rsid w:val="006A5337"/>
    <w:rsid w:val="006A53CF"/>
    <w:rsid w:val="006A562E"/>
    <w:rsid w:val="006A5A3F"/>
    <w:rsid w:val="006A5B20"/>
    <w:rsid w:val="006A5CB9"/>
    <w:rsid w:val="006A5CE2"/>
    <w:rsid w:val="006A5EEC"/>
    <w:rsid w:val="006A6193"/>
    <w:rsid w:val="006A6399"/>
    <w:rsid w:val="006A63D1"/>
    <w:rsid w:val="006A6432"/>
    <w:rsid w:val="006A6622"/>
    <w:rsid w:val="006A675D"/>
    <w:rsid w:val="006A6A67"/>
    <w:rsid w:val="006A6D77"/>
    <w:rsid w:val="006A6DFB"/>
    <w:rsid w:val="006A6F38"/>
    <w:rsid w:val="006A7007"/>
    <w:rsid w:val="006A7063"/>
    <w:rsid w:val="006A712B"/>
    <w:rsid w:val="006A743F"/>
    <w:rsid w:val="006A773C"/>
    <w:rsid w:val="006A784B"/>
    <w:rsid w:val="006A7F34"/>
    <w:rsid w:val="006B006E"/>
    <w:rsid w:val="006B02EC"/>
    <w:rsid w:val="006B0AB1"/>
    <w:rsid w:val="006B0B31"/>
    <w:rsid w:val="006B0C1B"/>
    <w:rsid w:val="006B0CE7"/>
    <w:rsid w:val="006B0D9E"/>
    <w:rsid w:val="006B0E00"/>
    <w:rsid w:val="006B0F05"/>
    <w:rsid w:val="006B12F8"/>
    <w:rsid w:val="006B1544"/>
    <w:rsid w:val="006B160B"/>
    <w:rsid w:val="006B167C"/>
    <w:rsid w:val="006B1B23"/>
    <w:rsid w:val="006B1B72"/>
    <w:rsid w:val="006B1D28"/>
    <w:rsid w:val="006B1F1E"/>
    <w:rsid w:val="006B1F3D"/>
    <w:rsid w:val="006B2044"/>
    <w:rsid w:val="006B2093"/>
    <w:rsid w:val="006B217B"/>
    <w:rsid w:val="006B22D3"/>
    <w:rsid w:val="006B238A"/>
    <w:rsid w:val="006B26C3"/>
    <w:rsid w:val="006B2701"/>
    <w:rsid w:val="006B272F"/>
    <w:rsid w:val="006B284A"/>
    <w:rsid w:val="006B2854"/>
    <w:rsid w:val="006B2A75"/>
    <w:rsid w:val="006B2DF6"/>
    <w:rsid w:val="006B31C7"/>
    <w:rsid w:val="006B3365"/>
    <w:rsid w:val="006B33FA"/>
    <w:rsid w:val="006B3513"/>
    <w:rsid w:val="006B360E"/>
    <w:rsid w:val="006B3626"/>
    <w:rsid w:val="006B38C1"/>
    <w:rsid w:val="006B3B96"/>
    <w:rsid w:val="006B3BA7"/>
    <w:rsid w:val="006B3BCD"/>
    <w:rsid w:val="006B3C07"/>
    <w:rsid w:val="006B3E6B"/>
    <w:rsid w:val="006B3F0D"/>
    <w:rsid w:val="006B4178"/>
    <w:rsid w:val="006B42C3"/>
    <w:rsid w:val="006B4430"/>
    <w:rsid w:val="006B44A1"/>
    <w:rsid w:val="006B4845"/>
    <w:rsid w:val="006B4BBF"/>
    <w:rsid w:val="006B4C02"/>
    <w:rsid w:val="006B4DBE"/>
    <w:rsid w:val="006B5016"/>
    <w:rsid w:val="006B50E6"/>
    <w:rsid w:val="006B58F5"/>
    <w:rsid w:val="006B5AA0"/>
    <w:rsid w:val="006B5AD9"/>
    <w:rsid w:val="006B5B67"/>
    <w:rsid w:val="006B5B68"/>
    <w:rsid w:val="006B5CC8"/>
    <w:rsid w:val="006B5FB3"/>
    <w:rsid w:val="006B6076"/>
    <w:rsid w:val="006B6491"/>
    <w:rsid w:val="006B676A"/>
    <w:rsid w:val="006B6A55"/>
    <w:rsid w:val="006B6C18"/>
    <w:rsid w:val="006B6CFB"/>
    <w:rsid w:val="006B6D57"/>
    <w:rsid w:val="006B6E60"/>
    <w:rsid w:val="006B6FC9"/>
    <w:rsid w:val="006B70A6"/>
    <w:rsid w:val="006B72FD"/>
    <w:rsid w:val="006B7424"/>
    <w:rsid w:val="006B7536"/>
    <w:rsid w:val="006B75B4"/>
    <w:rsid w:val="006B7B54"/>
    <w:rsid w:val="006B7D8C"/>
    <w:rsid w:val="006B7F73"/>
    <w:rsid w:val="006B7FE2"/>
    <w:rsid w:val="006C006A"/>
    <w:rsid w:val="006C0107"/>
    <w:rsid w:val="006C0125"/>
    <w:rsid w:val="006C04C7"/>
    <w:rsid w:val="006C05C0"/>
    <w:rsid w:val="006C07DB"/>
    <w:rsid w:val="006C0952"/>
    <w:rsid w:val="006C0B21"/>
    <w:rsid w:val="006C0CDF"/>
    <w:rsid w:val="006C0EB5"/>
    <w:rsid w:val="006C0F38"/>
    <w:rsid w:val="006C0FCE"/>
    <w:rsid w:val="006C11DE"/>
    <w:rsid w:val="006C1486"/>
    <w:rsid w:val="006C14BD"/>
    <w:rsid w:val="006C14CF"/>
    <w:rsid w:val="006C1839"/>
    <w:rsid w:val="006C194E"/>
    <w:rsid w:val="006C1B5A"/>
    <w:rsid w:val="006C1CA5"/>
    <w:rsid w:val="006C2053"/>
    <w:rsid w:val="006C2176"/>
    <w:rsid w:val="006C230F"/>
    <w:rsid w:val="006C2411"/>
    <w:rsid w:val="006C25B1"/>
    <w:rsid w:val="006C2758"/>
    <w:rsid w:val="006C2957"/>
    <w:rsid w:val="006C295B"/>
    <w:rsid w:val="006C2970"/>
    <w:rsid w:val="006C299E"/>
    <w:rsid w:val="006C2C93"/>
    <w:rsid w:val="006C2CA6"/>
    <w:rsid w:val="006C2D5D"/>
    <w:rsid w:val="006C2E01"/>
    <w:rsid w:val="006C300F"/>
    <w:rsid w:val="006C30C2"/>
    <w:rsid w:val="006C32FE"/>
    <w:rsid w:val="006C348A"/>
    <w:rsid w:val="006C34D0"/>
    <w:rsid w:val="006C3878"/>
    <w:rsid w:val="006C3B19"/>
    <w:rsid w:val="006C3E73"/>
    <w:rsid w:val="006C3E96"/>
    <w:rsid w:val="006C4446"/>
    <w:rsid w:val="006C46DF"/>
    <w:rsid w:val="006C4942"/>
    <w:rsid w:val="006C5059"/>
    <w:rsid w:val="006C51F4"/>
    <w:rsid w:val="006C55D7"/>
    <w:rsid w:val="006C56A9"/>
    <w:rsid w:val="006C56B8"/>
    <w:rsid w:val="006C5B59"/>
    <w:rsid w:val="006C5B7D"/>
    <w:rsid w:val="006C5C75"/>
    <w:rsid w:val="006C5CCD"/>
    <w:rsid w:val="006C5D44"/>
    <w:rsid w:val="006C5E91"/>
    <w:rsid w:val="006C5F9F"/>
    <w:rsid w:val="006C614F"/>
    <w:rsid w:val="006C665A"/>
    <w:rsid w:val="006C6767"/>
    <w:rsid w:val="006C691C"/>
    <w:rsid w:val="006C6A51"/>
    <w:rsid w:val="006C6E8C"/>
    <w:rsid w:val="006C6FC6"/>
    <w:rsid w:val="006C6FE1"/>
    <w:rsid w:val="006C7215"/>
    <w:rsid w:val="006C7481"/>
    <w:rsid w:val="006C7485"/>
    <w:rsid w:val="006C7582"/>
    <w:rsid w:val="006C7719"/>
    <w:rsid w:val="006C78DF"/>
    <w:rsid w:val="006C7A9E"/>
    <w:rsid w:val="006C7C0B"/>
    <w:rsid w:val="006C7D3E"/>
    <w:rsid w:val="006C7E7F"/>
    <w:rsid w:val="006C7E92"/>
    <w:rsid w:val="006C7FEA"/>
    <w:rsid w:val="006C7FFE"/>
    <w:rsid w:val="006D0157"/>
    <w:rsid w:val="006D0390"/>
    <w:rsid w:val="006D0753"/>
    <w:rsid w:val="006D0861"/>
    <w:rsid w:val="006D0997"/>
    <w:rsid w:val="006D0A8F"/>
    <w:rsid w:val="006D0A94"/>
    <w:rsid w:val="006D0AB9"/>
    <w:rsid w:val="006D0CE8"/>
    <w:rsid w:val="006D106F"/>
    <w:rsid w:val="006D110A"/>
    <w:rsid w:val="006D111C"/>
    <w:rsid w:val="006D1131"/>
    <w:rsid w:val="006D1164"/>
    <w:rsid w:val="006D12A5"/>
    <w:rsid w:val="006D13C3"/>
    <w:rsid w:val="006D13DE"/>
    <w:rsid w:val="006D1907"/>
    <w:rsid w:val="006D1917"/>
    <w:rsid w:val="006D19AD"/>
    <w:rsid w:val="006D1ADF"/>
    <w:rsid w:val="006D1C3B"/>
    <w:rsid w:val="006D1D74"/>
    <w:rsid w:val="006D21D1"/>
    <w:rsid w:val="006D2218"/>
    <w:rsid w:val="006D22C5"/>
    <w:rsid w:val="006D23FE"/>
    <w:rsid w:val="006D2425"/>
    <w:rsid w:val="006D2535"/>
    <w:rsid w:val="006D272F"/>
    <w:rsid w:val="006D2832"/>
    <w:rsid w:val="006D2A8D"/>
    <w:rsid w:val="006D2CDB"/>
    <w:rsid w:val="006D2D35"/>
    <w:rsid w:val="006D3106"/>
    <w:rsid w:val="006D322E"/>
    <w:rsid w:val="006D38F3"/>
    <w:rsid w:val="006D3D84"/>
    <w:rsid w:val="006D4094"/>
    <w:rsid w:val="006D41DD"/>
    <w:rsid w:val="006D4492"/>
    <w:rsid w:val="006D44B3"/>
    <w:rsid w:val="006D455F"/>
    <w:rsid w:val="006D46C6"/>
    <w:rsid w:val="006D48CE"/>
    <w:rsid w:val="006D4C12"/>
    <w:rsid w:val="006D4CAF"/>
    <w:rsid w:val="006D4DCA"/>
    <w:rsid w:val="006D506B"/>
    <w:rsid w:val="006D51C1"/>
    <w:rsid w:val="006D52A7"/>
    <w:rsid w:val="006D52DF"/>
    <w:rsid w:val="006D533F"/>
    <w:rsid w:val="006D5354"/>
    <w:rsid w:val="006D53E6"/>
    <w:rsid w:val="006D5438"/>
    <w:rsid w:val="006D5726"/>
    <w:rsid w:val="006D574D"/>
    <w:rsid w:val="006D580A"/>
    <w:rsid w:val="006D5C6A"/>
    <w:rsid w:val="006D5E00"/>
    <w:rsid w:val="006D61E5"/>
    <w:rsid w:val="006D6366"/>
    <w:rsid w:val="006D6461"/>
    <w:rsid w:val="006D6475"/>
    <w:rsid w:val="006D66E3"/>
    <w:rsid w:val="006D6746"/>
    <w:rsid w:val="006D693C"/>
    <w:rsid w:val="006D6ACB"/>
    <w:rsid w:val="006D6C3E"/>
    <w:rsid w:val="006D6EBA"/>
    <w:rsid w:val="006D6F54"/>
    <w:rsid w:val="006D7409"/>
    <w:rsid w:val="006D773D"/>
    <w:rsid w:val="006D783A"/>
    <w:rsid w:val="006D7A0C"/>
    <w:rsid w:val="006D7A9F"/>
    <w:rsid w:val="006D7CB4"/>
    <w:rsid w:val="006D7EBF"/>
    <w:rsid w:val="006D7EFA"/>
    <w:rsid w:val="006E0109"/>
    <w:rsid w:val="006E02D5"/>
    <w:rsid w:val="006E057C"/>
    <w:rsid w:val="006E097B"/>
    <w:rsid w:val="006E09FE"/>
    <w:rsid w:val="006E0BE2"/>
    <w:rsid w:val="006E0D39"/>
    <w:rsid w:val="006E0D7B"/>
    <w:rsid w:val="006E0F60"/>
    <w:rsid w:val="006E16BF"/>
    <w:rsid w:val="006E17A2"/>
    <w:rsid w:val="006E1D13"/>
    <w:rsid w:val="006E1F4E"/>
    <w:rsid w:val="006E1FFE"/>
    <w:rsid w:val="006E2365"/>
    <w:rsid w:val="006E2864"/>
    <w:rsid w:val="006E2916"/>
    <w:rsid w:val="006E298D"/>
    <w:rsid w:val="006E2C08"/>
    <w:rsid w:val="006E2C29"/>
    <w:rsid w:val="006E2E5E"/>
    <w:rsid w:val="006E2F74"/>
    <w:rsid w:val="006E2FD2"/>
    <w:rsid w:val="006E2FF6"/>
    <w:rsid w:val="006E30B7"/>
    <w:rsid w:val="006E330A"/>
    <w:rsid w:val="006E3689"/>
    <w:rsid w:val="006E36F9"/>
    <w:rsid w:val="006E39BC"/>
    <w:rsid w:val="006E39DF"/>
    <w:rsid w:val="006E3C95"/>
    <w:rsid w:val="006E3CFD"/>
    <w:rsid w:val="006E4145"/>
    <w:rsid w:val="006E4293"/>
    <w:rsid w:val="006E4408"/>
    <w:rsid w:val="006E44DA"/>
    <w:rsid w:val="006E464E"/>
    <w:rsid w:val="006E4801"/>
    <w:rsid w:val="006E4828"/>
    <w:rsid w:val="006E4CF5"/>
    <w:rsid w:val="006E4E37"/>
    <w:rsid w:val="006E4E82"/>
    <w:rsid w:val="006E52D5"/>
    <w:rsid w:val="006E5367"/>
    <w:rsid w:val="006E55D2"/>
    <w:rsid w:val="006E5657"/>
    <w:rsid w:val="006E57AF"/>
    <w:rsid w:val="006E5A19"/>
    <w:rsid w:val="006E5B62"/>
    <w:rsid w:val="006E5B72"/>
    <w:rsid w:val="006E5BAE"/>
    <w:rsid w:val="006E63CA"/>
    <w:rsid w:val="006E679D"/>
    <w:rsid w:val="006E6847"/>
    <w:rsid w:val="006E69A3"/>
    <w:rsid w:val="006E6CE2"/>
    <w:rsid w:val="006E6E56"/>
    <w:rsid w:val="006E702B"/>
    <w:rsid w:val="006E7186"/>
    <w:rsid w:val="006E718D"/>
    <w:rsid w:val="006E7207"/>
    <w:rsid w:val="006E73B8"/>
    <w:rsid w:val="006E7646"/>
    <w:rsid w:val="006E78A2"/>
    <w:rsid w:val="006E7B60"/>
    <w:rsid w:val="006E7CD3"/>
    <w:rsid w:val="006E7D1C"/>
    <w:rsid w:val="006E7E49"/>
    <w:rsid w:val="006F0039"/>
    <w:rsid w:val="006F0088"/>
    <w:rsid w:val="006F0195"/>
    <w:rsid w:val="006F01A8"/>
    <w:rsid w:val="006F02C7"/>
    <w:rsid w:val="006F0836"/>
    <w:rsid w:val="006F09B3"/>
    <w:rsid w:val="006F09E8"/>
    <w:rsid w:val="006F0AF0"/>
    <w:rsid w:val="006F0AF9"/>
    <w:rsid w:val="006F0EE1"/>
    <w:rsid w:val="006F10D4"/>
    <w:rsid w:val="006F1233"/>
    <w:rsid w:val="006F12D6"/>
    <w:rsid w:val="006F132D"/>
    <w:rsid w:val="006F1507"/>
    <w:rsid w:val="006F1572"/>
    <w:rsid w:val="006F1669"/>
    <w:rsid w:val="006F171F"/>
    <w:rsid w:val="006F1733"/>
    <w:rsid w:val="006F17B2"/>
    <w:rsid w:val="006F1DF5"/>
    <w:rsid w:val="006F2120"/>
    <w:rsid w:val="006F215E"/>
    <w:rsid w:val="006F2342"/>
    <w:rsid w:val="006F24B4"/>
    <w:rsid w:val="006F2851"/>
    <w:rsid w:val="006F29DB"/>
    <w:rsid w:val="006F29F4"/>
    <w:rsid w:val="006F2A2A"/>
    <w:rsid w:val="006F2C66"/>
    <w:rsid w:val="006F2F94"/>
    <w:rsid w:val="006F30B3"/>
    <w:rsid w:val="006F30D6"/>
    <w:rsid w:val="006F3155"/>
    <w:rsid w:val="006F31C7"/>
    <w:rsid w:val="006F3286"/>
    <w:rsid w:val="006F32E3"/>
    <w:rsid w:val="006F3306"/>
    <w:rsid w:val="006F3494"/>
    <w:rsid w:val="006F356C"/>
    <w:rsid w:val="006F3678"/>
    <w:rsid w:val="006F3704"/>
    <w:rsid w:val="006F37C9"/>
    <w:rsid w:val="006F39AF"/>
    <w:rsid w:val="006F3A03"/>
    <w:rsid w:val="006F3B69"/>
    <w:rsid w:val="006F4140"/>
    <w:rsid w:val="006F4220"/>
    <w:rsid w:val="006F4636"/>
    <w:rsid w:val="006F48B2"/>
    <w:rsid w:val="006F495F"/>
    <w:rsid w:val="006F4AAD"/>
    <w:rsid w:val="006F4B39"/>
    <w:rsid w:val="006F4CE4"/>
    <w:rsid w:val="006F4DE5"/>
    <w:rsid w:val="006F4F1D"/>
    <w:rsid w:val="006F50B9"/>
    <w:rsid w:val="006F51B6"/>
    <w:rsid w:val="006F5438"/>
    <w:rsid w:val="006F5656"/>
    <w:rsid w:val="006F5691"/>
    <w:rsid w:val="006F584F"/>
    <w:rsid w:val="006F58A3"/>
    <w:rsid w:val="006F5A2E"/>
    <w:rsid w:val="006F5A71"/>
    <w:rsid w:val="006F5A8E"/>
    <w:rsid w:val="006F5B24"/>
    <w:rsid w:val="006F5BF1"/>
    <w:rsid w:val="006F5D6C"/>
    <w:rsid w:val="006F5FF2"/>
    <w:rsid w:val="006F6043"/>
    <w:rsid w:val="006F6053"/>
    <w:rsid w:val="006F6084"/>
    <w:rsid w:val="006F6412"/>
    <w:rsid w:val="006F649C"/>
    <w:rsid w:val="006F6552"/>
    <w:rsid w:val="006F6585"/>
    <w:rsid w:val="006F67F4"/>
    <w:rsid w:val="006F6917"/>
    <w:rsid w:val="006F6BB0"/>
    <w:rsid w:val="006F6E39"/>
    <w:rsid w:val="006F6F91"/>
    <w:rsid w:val="006F757C"/>
    <w:rsid w:val="006F7848"/>
    <w:rsid w:val="006F78A0"/>
    <w:rsid w:val="006F7AEF"/>
    <w:rsid w:val="00700004"/>
    <w:rsid w:val="0070001F"/>
    <w:rsid w:val="007001E5"/>
    <w:rsid w:val="007005E4"/>
    <w:rsid w:val="007007D1"/>
    <w:rsid w:val="007009A4"/>
    <w:rsid w:val="007009CC"/>
    <w:rsid w:val="007009E0"/>
    <w:rsid w:val="00700B77"/>
    <w:rsid w:val="00700DFD"/>
    <w:rsid w:val="00700EF2"/>
    <w:rsid w:val="007010FB"/>
    <w:rsid w:val="0070132C"/>
    <w:rsid w:val="007014A2"/>
    <w:rsid w:val="00701716"/>
    <w:rsid w:val="007017E6"/>
    <w:rsid w:val="00701829"/>
    <w:rsid w:val="00701978"/>
    <w:rsid w:val="00701E95"/>
    <w:rsid w:val="007020ED"/>
    <w:rsid w:val="0070235C"/>
    <w:rsid w:val="00702455"/>
    <w:rsid w:val="00702546"/>
    <w:rsid w:val="00702561"/>
    <w:rsid w:val="0070265F"/>
    <w:rsid w:val="00702BC5"/>
    <w:rsid w:val="00702FBD"/>
    <w:rsid w:val="00703049"/>
    <w:rsid w:val="00703328"/>
    <w:rsid w:val="00703427"/>
    <w:rsid w:val="007035EB"/>
    <w:rsid w:val="0070375A"/>
    <w:rsid w:val="007039DB"/>
    <w:rsid w:val="00703BAA"/>
    <w:rsid w:val="00703F4E"/>
    <w:rsid w:val="00704845"/>
    <w:rsid w:val="00704A5B"/>
    <w:rsid w:val="00704BC0"/>
    <w:rsid w:val="00704E55"/>
    <w:rsid w:val="00705085"/>
    <w:rsid w:val="00705288"/>
    <w:rsid w:val="0070532D"/>
    <w:rsid w:val="007053F9"/>
    <w:rsid w:val="007054CB"/>
    <w:rsid w:val="0070586E"/>
    <w:rsid w:val="0070592D"/>
    <w:rsid w:val="00705CAC"/>
    <w:rsid w:val="00705D8C"/>
    <w:rsid w:val="00705DF2"/>
    <w:rsid w:val="00705DFF"/>
    <w:rsid w:val="00705ED5"/>
    <w:rsid w:val="00706044"/>
    <w:rsid w:val="007060CD"/>
    <w:rsid w:val="007060F9"/>
    <w:rsid w:val="00706180"/>
    <w:rsid w:val="007063B2"/>
    <w:rsid w:val="007063D4"/>
    <w:rsid w:val="007066FD"/>
    <w:rsid w:val="00706716"/>
    <w:rsid w:val="00706748"/>
    <w:rsid w:val="00706C3C"/>
    <w:rsid w:val="007072D5"/>
    <w:rsid w:val="0070754E"/>
    <w:rsid w:val="00707811"/>
    <w:rsid w:val="0070784E"/>
    <w:rsid w:val="0070799A"/>
    <w:rsid w:val="00707AA3"/>
    <w:rsid w:val="00707B56"/>
    <w:rsid w:val="00707EA8"/>
    <w:rsid w:val="00707F56"/>
    <w:rsid w:val="00707F88"/>
    <w:rsid w:val="00707F89"/>
    <w:rsid w:val="00710313"/>
    <w:rsid w:val="0071069C"/>
    <w:rsid w:val="00710B3E"/>
    <w:rsid w:val="00710B57"/>
    <w:rsid w:val="00710B7D"/>
    <w:rsid w:val="00710D6C"/>
    <w:rsid w:val="0071106F"/>
    <w:rsid w:val="00711133"/>
    <w:rsid w:val="007112A0"/>
    <w:rsid w:val="007113BF"/>
    <w:rsid w:val="007114F2"/>
    <w:rsid w:val="007115EA"/>
    <w:rsid w:val="007117F5"/>
    <w:rsid w:val="0071183C"/>
    <w:rsid w:val="00711ABA"/>
    <w:rsid w:val="00711AE6"/>
    <w:rsid w:val="0071205D"/>
    <w:rsid w:val="0071234E"/>
    <w:rsid w:val="00712618"/>
    <w:rsid w:val="007127B5"/>
    <w:rsid w:val="00712A1F"/>
    <w:rsid w:val="00712A92"/>
    <w:rsid w:val="00712BA5"/>
    <w:rsid w:val="00712BF5"/>
    <w:rsid w:val="007133FC"/>
    <w:rsid w:val="00713459"/>
    <w:rsid w:val="0071345E"/>
    <w:rsid w:val="00713566"/>
    <w:rsid w:val="0071363B"/>
    <w:rsid w:val="00713659"/>
    <w:rsid w:val="007136DF"/>
    <w:rsid w:val="0071376B"/>
    <w:rsid w:val="00713A2B"/>
    <w:rsid w:val="00713EE2"/>
    <w:rsid w:val="00713F1F"/>
    <w:rsid w:val="0071445A"/>
    <w:rsid w:val="00714462"/>
    <w:rsid w:val="007144F4"/>
    <w:rsid w:val="00714566"/>
    <w:rsid w:val="007145AD"/>
    <w:rsid w:val="007146C2"/>
    <w:rsid w:val="0071491B"/>
    <w:rsid w:val="00714E1F"/>
    <w:rsid w:val="007151C0"/>
    <w:rsid w:val="0071520C"/>
    <w:rsid w:val="00715516"/>
    <w:rsid w:val="007155F4"/>
    <w:rsid w:val="00715A03"/>
    <w:rsid w:val="00715A75"/>
    <w:rsid w:val="00715C1A"/>
    <w:rsid w:val="00715E06"/>
    <w:rsid w:val="0071606B"/>
    <w:rsid w:val="007161DF"/>
    <w:rsid w:val="007162A4"/>
    <w:rsid w:val="0071692D"/>
    <w:rsid w:val="0071713F"/>
    <w:rsid w:val="00717284"/>
    <w:rsid w:val="0071728E"/>
    <w:rsid w:val="007172BB"/>
    <w:rsid w:val="007172C1"/>
    <w:rsid w:val="0071734F"/>
    <w:rsid w:val="00717393"/>
    <w:rsid w:val="0071751B"/>
    <w:rsid w:val="00717B9E"/>
    <w:rsid w:val="00717C52"/>
    <w:rsid w:val="00717DD2"/>
    <w:rsid w:val="00717E33"/>
    <w:rsid w:val="00717E35"/>
    <w:rsid w:val="007200F5"/>
    <w:rsid w:val="007202B9"/>
    <w:rsid w:val="007204DE"/>
    <w:rsid w:val="00720530"/>
    <w:rsid w:val="00720870"/>
    <w:rsid w:val="007208B6"/>
    <w:rsid w:val="00720DAF"/>
    <w:rsid w:val="00721182"/>
    <w:rsid w:val="0072158D"/>
    <w:rsid w:val="007216D5"/>
    <w:rsid w:val="007218F7"/>
    <w:rsid w:val="00721E73"/>
    <w:rsid w:val="00721EED"/>
    <w:rsid w:val="00721F0D"/>
    <w:rsid w:val="0072210D"/>
    <w:rsid w:val="00722174"/>
    <w:rsid w:val="0072223A"/>
    <w:rsid w:val="0072226E"/>
    <w:rsid w:val="007222CD"/>
    <w:rsid w:val="007223CD"/>
    <w:rsid w:val="00722612"/>
    <w:rsid w:val="007226EE"/>
    <w:rsid w:val="0072284C"/>
    <w:rsid w:val="00722AAA"/>
    <w:rsid w:val="00722D8C"/>
    <w:rsid w:val="007231C2"/>
    <w:rsid w:val="0072324D"/>
    <w:rsid w:val="00723297"/>
    <w:rsid w:val="00723318"/>
    <w:rsid w:val="007237A0"/>
    <w:rsid w:val="0072383A"/>
    <w:rsid w:val="00723BA0"/>
    <w:rsid w:val="00723C1F"/>
    <w:rsid w:val="00723FA9"/>
    <w:rsid w:val="00724024"/>
    <w:rsid w:val="007240E5"/>
    <w:rsid w:val="0072448A"/>
    <w:rsid w:val="00724532"/>
    <w:rsid w:val="0072454B"/>
    <w:rsid w:val="00724751"/>
    <w:rsid w:val="0072479B"/>
    <w:rsid w:val="007247D6"/>
    <w:rsid w:val="00724C30"/>
    <w:rsid w:val="00724D3D"/>
    <w:rsid w:val="00724F33"/>
    <w:rsid w:val="00725097"/>
    <w:rsid w:val="007252C8"/>
    <w:rsid w:val="00725436"/>
    <w:rsid w:val="007257AE"/>
    <w:rsid w:val="007257BA"/>
    <w:rsid w:val="0072595B"/>
    <w:rsid w:val="00725A5A"/>
    <w:rsid w:val="00725AED"/>
    <w:rsid w:val="00725B61"/>
    <w:rsid w:val="00725CA3"/>
    <w:rsid w:val="00725D0D"/>
    <w:rsid w:val="00725E1B"/>
    <w:rsid w:val="00726003"/>
    <w:rsid w:val="0072603E"/>
    <w:rsid w:val="00726177"/>
    <w:rsid w:val="007261B7"/>
    <w:rsid w:val="0072629C"/>
    <w:rsid w:val="007263E8"/>
    <w:rsid w:val="00726AA3"/>
    <w:rsid w:val="00726D0E"/>
    <w:rsid w:val="00726F88"/>
    <w:rsid w:val="0072706A"/>
    <w:rsid w:val="007273BD"/>
    <w:rsid w:val="0072749F"/>
    <w:rsid w:val="007274B8"/>
    <w:rsid w:val="007274E4"/>
    <w:rsid w:val="007275C9"/>
    <w:rsid w:val="00727924"/>
    <w:rsid w:val="00727AE9"/>
    <w:rsid w:val="00727B11"/>
    <w:rsid w:val="00727B22"/>
    <w:rsid w:val="00727C34"/>
    <w:rsid w:val="00727CED"/>
    <w:rsid w:val="00727DAF"/>
    <w:rsid w:val="00727E06"/>
    <w:rsid w:val="0073016A"/>
    <w:rsid w:val="007302D1"/>
    <w:rsid w:val="007305F7"/>
    <w:rsid w:val="007308B0"/>
    <w:rsid w:val="007308FF"/>
    <w:rsid w:val="00730913"/>
    <w:rsid w:val="00730AD1"/>
    <w:rsid w:val="00730B31"/>
    <w:rsid w:val="00730B8F"/>
    <w:rsid w:val="00730DB4"/>
    <w:rsid w:val="00730DBB"/>
    <w:rsid w:val="00730DE2"/>
    <w:rsid w:val="00730E30"/>
    <w:rsid w:val="00730E71"/>
    <w:rsid w:val="00730EA9"/>
    <w:rsid w:val="00730F08"/>
    <w:rsid w:val="007313C0"/>
    <w:rsid w:val="0073149F"/>
    <w:rsid w:val="007315D5"/>
    <w:rsid w:val="00731709"/>
    <w:rsid w:val="007317DC"/>
    <w:rsid w:val="00731A9B"/>
    <w:rsid w:val="00731AF6"/>
    <w:rsid w:val="00731F52"/>
    <w:rsid w:val="00732081"/>
    <w:rsid w:val="00732151"/>
    <w:rsid w:val="00732285"/>
    <w:rsid w:val="00732419"/>
    <w:rsid w:val="0073272B"/>
    <w:rsid w:val="00732963"/>
    <w:rsid w:val="007329EA"/>
    <w:rsid w:val="00732B73"/>
    <w:rsid w:val="00732B80"/>
    <w:rsid w:val="007331DC"/>
    <w:rsid w:val="0073327E"/>
    <w:rsid w:val="0073327F"/>
    <w:rsid w:val="0073343E"/>
    <w:rsid w:val="00733B17"/>
    <w:rsid w:val="00733C4A"/>
    <w:rsid w:val="00733F20"/>
    <w:rsid w:val="00734231"/>
    <w:rsid w:val="00734268"/>
    <w:rsid w:val="0073439E"/>
    <w:rsid w:val="007344BA"/>
    <w:rsid w:val="00734584"/>
    <w:rsid w:val="0073479F"/>
    <w:rsid w:val="0073489F"/>
    <w:rsid w:val="00734AE3"/>
    <w:rsid w:val="00734BEF"/>
    <w:rsid w:val="00734DF7"/>
    <w:rsid w:val="00735240"/>
    <w:rsid w:val="00735363"/>
    <w:rsid w:val="007355AF"/>
    <w:rsid w:val="00735A29"/>
    <w:rsid w:val="00735F35"/>
    <w:rsid w:val="00735FB3"/>
    <w:rsid w:val="00736020"/>
    <w:rsid w:val="00736068"/>
    <w:rsid w:val="00736203"/>
    <w:rsid w:val="007363C6"/>
    <w:rsid w:val="007364F4"/>
    <w:rsid w:val="0073653C"/>
    <w:rsid w:val="007365A0"/>
    <w:rsid w:val="0073662D"/>
    <w:rsid w:val="007367DF"/>
    <w:rsid w:val="00736AEF"/>
    <w:rsid w:val="00736C31"/>
    <w:rsid w:val="007371EA"/>
    <w:rsid w:val="0073727A"/>
    <w:rsid w:val="00737514"/>
    <w:rsid w:val="00737755"/>
    <w:rsid w:val="0073787A"/>
    <w:rsid w:val="00737883"/>
    <w:rsid w:val="00737A8D"/>
    <w:rsid w:val="00737BBA"/>
    <w:rsid w:val="00737BEE"/>
    <w:rsid w:val="0074008F"/>
    <w:rsid w:val="007400B9"/>
    <w:rsid w:val="00740988"/>
    <w:rsid w:val="00740CF8"/>
    <w:rsid w:val="007416FE"/>
    <w:rsid w:val="007418B4"/>
    <w:rsid w:val="00741908"/>
    <w:rsid w:val="007419F4"/>
    <w:rsid w:val="00741A9F"/>
    <w:rsid w:val="00741AB6"/>
    <w:rsid w:val="00741D2A"/>
    <w:rsid w:val="00742202"/>
    <w:rsid w:val="00742620"/>
    <w:rsid w:val="0074285F"/>
    <w:rsid w:val="0074289D"/>
    <w:rsid w:val="0074298A"/>
    <w:rsid w:val="00742B3E"/>
    <w:rsid w:val="00742B8C"/>
    <w:rsid w:val="00742DF9"/>
    <w:rsid w:val="00742F10"/>
    <w:rsid w:val="0074304F"/>
    <w:rsid w:val="0074323B"/>
    <w:rsid w:val="00743522"/>
    <w:rsid w:val="00743A89"/>
    <w:rsid w:val="00743B4A"/>
    <w:rsid w:val="00743CF6"/>
    <w:rsid w:val="00743DED"/>
    <w:rsid w:val="00743ED9"/>
    <w:rsid w:val="00743FB4"/>
    <w:rsid w:val="007440B6"/>
    <w:rsid w:val="007443B3"/>
    <w:rsid w:val="007443F1"/>
    <w:rsid w:val="007445A3"/>
    <w:rsid w:val="007445C4"/>
    <w:rsid w:val="00744823"/>
    <w:rsid w:val="00744C60"/>
    <w:rsid w:val="00744D68"/>
    <w:rsid w:val="00744D6A"/>
    <w:rsid w:val="00744EE7"/>
    <w:rsid w:val="00745432"/>
    <w:rsid w:val="007454B7"/>
    <w:rsid w:val="00745507"/>
    <w:rsid w:val="00745A0E"/>
    <w:rsid w:val="00745F20"/>
    <w:rsid w:val="00745FE9"/>
    <w:rsid w:val="00746010"/>
    <w:rsid w:val="00746175"/>
    <w:rsid w:val="00746183"/>
    <w:rsid w:val="00746273"/>
    <w:rsid w:val="00746364"/>
    <w:rsid w:val="00746492"/>
    <w:rsid w:val="00746696"/>
    <w:rsid w:val="007468C9"/>
    <w:rsid w:val="00746939"/>
    <w:rsid w:val="00746A5A"/>
    <w:rsid w:val="00746A93"/>
    <w:rsid w:val="00746E8B"/>
    <w:rsid w:val="0074701E"/>
    <w:rsid w:val="0074722B"/>
    <w:rsid w:val="00747428"/>
    <w:rsid w:val="0074752B"/>
    <w:rsid w:val="007476D5"/>
    <w:rsid w:val="0074772C"/>
    <w:rsid w:val="007477CB"/>
    <w:rsid w:val="0074781E"/>
    <w:rsid w:val="00747829"/>
    <w:rsid w:val="00747933"/>
    <w:rsid w:val="00747B65"/>
    <w:rsid w:val="00747C76"/>
    <w:rsid w:val="00747D42"/>
    <w:rsid w:val="00747F4A"/>
    <w:rsid w:val="00750355"/>
    <w:rsid w:val="00750598"/>
    <w:rsid w:val="0075068A"/>
    <w:rsid w:val="0075095D"/>
    <w:rsid w:val="00750B94"/>
    <w:rsid w:val="00750C18"/>
    <w:rsid w:val="00750CE3"/>
    <w:rsid w:val="00750E0A"/>
    <w:rsid w:val="00750E9F"/>
    <w:rsid w:val="00750F70"/>
    <w:rsid w:val="0075113C"/>
    <w:rsid w:val="00751684"/>
    <w:rsid w:val="00751858"/>
    <w:rsid w:val="00751BE0"/>
    <w:rsid w:val="00751DFF"/>
    <w:rsid w:val="00751EF6"/>
    <w:rsid w:val="0075207E"/>
    <w:rsid w:val="00752136"/>
    <w:rsid w:val="0075218F"/>
    <w:rsid w:val="007521DA"/>
    <w:rsid w:val="007521E8"/>
    <w:rsid w:val="0075233D"/>
    <w:rsid w:val="00752620"/>
    <w:rsid w:val="00752721"/>
    <w:rsid w:val="0075286C"/>
    <w:rsid w:val="00752B1A"/>
    <w:rsid w:val="00752E82"/>
    <w:rsid w:val="0075313A"/>
    <w:rsid w:val="00753181"/>
    <w:rsid w:val="00753358"/>
    <w:rsid w:val="0075337A"/>
    <w:rsid w:val="007534A3"/>
    <w:rsid w:val="007534D8"/>
    <w:rsid w:val="007536F6"/>
    <w:rsid w:val="007536FF"/>
    <w:rsid w:val="007537A6"/>
    <w:rsid w:val="00753A1A"/>
    <w:rsid w:val="00753FF5"/>
    <w:rsid w:val="007541A6"/>
    <w:rsid w:val="007542DF"/>
    <w:rsid w:val="00754548"/>
    <w:rsid w:val="0075457B"/>
    <w:rsid w:val="007546BE"/>
    <w:rsid w:val="00754777"/>
    <w:rsid w:val="00754794"/>
    <w:rsid w:val="007547A0"/>
    <w:rsid w:val="007548D6"/>
    <w:rsid w:val="0075497D"/>
    <w:rsid w:val="00754A9C"/>
    <w:rsid w:val="00754ABE"/>
    <w:rsid w:val="00755157"/>
    <w:rsid w:val="00755319"/>
    <w:rsid w:val="00755368"/>
    <w:rsid w:val="0075560F"/>
    <w:rsid w:val="00755A3E"/>
    <w:rsid w:val="00755ABB"/>
    <w:rsid w:val="00755E38"/>
    <w:rsid w:val="0075615F"/>
    <w:rsid w:val="007561FC"/>
    <w:rsid w:val="0075640D"/>
    <w:rsid w:val="0075642A"/>
    <w:rsid w:val="0075647B"/>
    <w:rsid w:val="007568C1"/>
    <w:rsid w:val="0075699A"/>
    <w:rsid w:val="00756D25"/>
    <w:rsid w:val="00757295"/>
    <w:rsid w:val="00757383"/>
    <w:rsid w:val="00757437"/>
    <w:rsid w:val="007575C2"/>
    <w:rsid w:val="00757692"/>
    <w:rsid w:val="007577A6"/>
    <w:rsid w:val="00757951"/>
    <w:rsid w:val="00757A62"/>
    <w:rsid w:val="00757B17"/>
    <w:rsid w:val="00757C5D"/>
    <w:rsid w:val="00757D53"/>
    <w:rsid w:val="00757D8E"/>
    <w:rsid w:val="00757ECF"/>
    <w:rsid w:val="00757EFE"/>
    <w:rsid w:val="00760239"/>
    <w:rsid w:val="007605CC"/>
    <w:rsid w:val="00760738"/>
    <w:rsid w:val="00760DFC"/>
    <w:rsid w:val="00760E45"/>
    <w:rsid w:val="0076129C"/>
    <w:rsid w:val="00761382"/>
    <w:rsid w:val="00761419"/>
    <w:rsid w:val="00761497"/>
    <w:rsid w:val="00761584"/>
    <w:rsid w:val="00761616"/>
    <w:rsid w:val="007617E6"/>
    <w:rsid w:val="007619E5"/>
    <w:rsid w:val="00761A45"/>
    <w:rsid w:val="00761C58"/>
    <w:rsid w:val="00762108"/>
    <w:rsid w:val="00762115"/>
    <w:rsid w:val="0076255E"/>
    <w:rsid w:val="00762962"/>
    <w:rsid w:val="00762A25"/>
    <w:rsid w:val="00762B91"/>
    <w:rsid w:val="007630D9"/>
    <w:rsid w:val="00763111"/>
    <w:rsid w:val="00763138"/>
    <w:rsid w:val="0076313D"/>
    <w:rsid w:val="007632CA"/>
    <w:rsid w:val="007639B4"/>
    <w:rsid w:val="00763A0B"/>
    <w:rsid w:val="00763A65"/>
    <w:rsid w:val="00763DC1"/>
    <w:rsid w:val="00763E97"/>
    <w:rsid w:val="00763ECF"/>
    <w:rsid w:val="00763F15"/>
    <w:rsid w:val="00764152"/>
    <w:rsid w:val="007645A9"/>
    <w:rsid w:val="007645F2"/>
    <w:rsid w:val="00764654"/>
    <w:rsid w:val="007647C3"/>
    <w:rsid w:val="00764CE7"/>
    <w:rsid w:val="00764E40"/>
    <w:rsid w:val="00764F6E"/>
    <w:rsid w:val="0076522D"/>
    <w:rsid w:val="00765721"/>
    <w:rsid w:val="00765735"/>
    <w:rsid w:val="00765ABD"/>
    <w:rsid w:val="00765D08"/>
    <w:rsid w:val="00765E13"/>
    <w:rsid w:val="00765E51"/>
    <w:rsid w:val="00766406"/>
    <w:rsid w:val="00766476"/>
    <w:rsid w:val="00766499"/>
    <w:rsid w:val="007666B4"/>
    <w:rsid w:val="00766835"/>
    <w:rsid w:val="00766B83"/>
    <w:rsid w:val="00766CAA"/>
    <w:rsid w:val="00766FE7"/>
    <w:rsid w:val="00766FE8"/>
    <w:rsid w:val="0076708A"/>
    <w:rsid w:val="007670B0"/>
    <w:rsid w:val="00767107"/>
    <w:rsid w:val="00767332"/>
    <w:rsid w:val="00767453"/>
    <w:rsid w:val="0076772B"/>
    <w:rsid w:val="00767878"/>
    <w:rsid w:val="00767AD0"/>
    <w:rsid w:val="00767DAF"/>
    <w:rsid w:val="00767DDC"/>
    <w:rsid w:val="00770439"/>
    <w:rsid w:val="00770894"/>
    <w:rsid w:val="00770A0B"/>
    <w:rsid w:val="00771271"/>
    <w:rsid w:val="00771623"/>
    <w:rsid w:val="00771C05"/>
    <w:rsid w:val="00771DB7"/>
    <w:rsid w:val="00772162"/>
    <w:rsid w:val="007728FC"/>
    <w:rsid w:val="00772917"/>
    <w:rsid w:val="007729E8"/>
    <w:rsid w:val="00772C8C"/>
    <w:rsid w:val="00772C99"/>
    <w:rsid w:val="00772FC6"/>
    <w:rsid w:val="00773003"/>
    <w:rsid w:val="00773123"/>
    <w:rsid w:val="00773360"/>
    <w:rsid w:val="0077347C"/>
    <w:rsid w:val="007734BF"/>
    <w:rsid w:val="0077377E"/>
    <w:rsid w:val="007737B2"/>
    <w:rsid w:val="00773DA6"/>
    <w:rsid w:val="00773F74"/>
    <w:rsid w:val="00773F8C"/>
    <w:rsid w:val="00774357"/>
    <w:rsid w:val="00774370"/>
    <w:rsid w:val="00774602"/>
    <w:rsid w:val="00774618"/>
    <w:rsid w:val="00774863"/>
    <w:rsid w:val="007748CE"/>
    <w:rsid w:val="00774BF7"/>
    <w:rsid w:val="00774EF8"/>
    <w:rsid w:val="007750B9"/>
    <w:rsid w:val="0077526A"/>
    <w:rsid w:val="00775289"/>
    <w:rsid w:val="007754BF"/>
    <w:rsid w:val="00775729"/>
    <w:rsid w:val="0077580C"/>
    <w:rsid w:val="007759AF"/>
    <w:rsid w:val="00775AC0"/>
    <w:rsid w:val="00775EAD"/>
    <w:rsid w:val="00775EE2"/>
    <w:rsid w:val="00775F69"/>
    <w:rsid w:val="0077625F"/>
    <w:rsid w:val="00776377"/>
    <w:rsid w:val="00776386"/>
    <w:rsid w:val="00776694"/>
    <w:rsid w:val="00776A05"/>
    <w:rsid w:val="00776D9B"/>
    <w:rsid w:val="007776FC"/>
    <w:rsid w:val="0077788C"/>
    <w:rsid w:val="0077789A"/>
    <w:rsid w:val="007778D0"/>
    <w:rsid w:val="0077799F"/>
    <w:rsid w:val="00777AC7"/>
    <w:rsid w:val="00777ADB"/>
    <w:rsid w:val="00777DA5"/>
    <w:rsid w:val="00777DC5"/>
    <w:rsid w:val="00777F12"/>
    <w:rsid w:val="0078011D"/>
    <w:rsid w:val="007801F9"/>
    <w:rsid w:val="0078023A"/>
    <w:rsid w:val="00780326"/>
    <w:rsid w:val="0078052E"/>
    <w:rsid w:val="00780802"/>
    <w:rsid w:val="00780AD9"/>
    <w:rsid w:val="00780C4F"/>
    <w:rsid w:val="00780C76"/>
    <w:rsid w:val="00780ED5"/>
    <w:rsid w:val="00780F0D"/>
    <w:rsid w:val="00780F9B"/>
    <w:rsid w:val="00780FE6"/>
    <w:rsid w:val="0078107A"/>
    <w:rsid w:val="007811D0"/>
    <w:rsid w:val="0078135A"/>
    <w:rsid w:val="00781616"/>
    <w:rsid w:val="00781664"/>
    <w:rsid w:val="007817DB"/>
    <w:rsid w:val="007818E1"/>
    <w:rsid w:val="00781A45"/>
    <w:rsid w:val="00781D3B"/>
    <w:rsid w:val="00781E64"/>
    <w:rsid w:val="00781E6D"/>
    <w:rsid w:val="0078217B"/>
    <w:rsid w:val="00782411"/>
    <w:rsid w:val="007826C5"/>
    <w:rsid w:val="00782AC0"/>
    <w:rsid w:val="00782CEF"/>
    <w:rsid w:val="00782D63"/>
    <w:rsid w:val="00782DBB"/>
    <w:rsid w:val="00782DEA"/>
    <w:rsid w:val="00782EF1"/>
    <w:rsid w:val="00783208"/>
    <w:rsid w:val="00783276"/>
    <w:rsid w:val="00783361"/>
    <w:rsid w:val="00783637"/>
    <w:rsid w:val="007837A8"/>
    <w:rsid w:val="00783BEC"/>
    <w:rsid w:val="00783C0A"/>
    <w:rsid w:val="00783DB8"/>
    <w:rsid w:val="00783DF1"/>
    <w:rsid w:val="00783EE7"/>
    <w:rsid w:val="00783FCC"/>
    <w:rsid w:val="00784174"/>
    <w:rsid w:val="007841DF"/>
    <w:rsid w:val="0078430C"/>
    <w:rsid w:val="00784313"/>
    <w:rsid w:val="00784368"/>
    <w:rsid w:val="00784573"/>
    <w:rsid w:val="0078463A"/>
    <w:rsid w:val="007847EB"/>
    <w:rsid w:val="0078488D"/>
    <w:rsid w:val="007849DA"/>
    <w:rsid w:val="00784A94"/>
    <w:rsid w:val="00784B0D"/>
    <w:rsid w:val="00784D58"/>
    <w:rsid w:val="00784E01"/>
    <w:rsid w:val="00784F21"/>
    <w:rsid w:val="00785101"/>
    <w:rsid w:val="00785243"/>
    <w:rsid w:val="0078561A"/>
    <w:rsid w:val="00785DC6"/>
    <w:rsid w:val="00785EEE"/>
    <w:rsid w:val="0078606A"/>
    <w:rsid w:val="007861C5"/>
    <w:rsid w:val="0078622E"/>
    <w:rsid w:val="00786358"/>
    <w:rsid w:val="007863E5"/>
    <w:rsid w:val="00786693"/>
    <w:rsid w:val="00786792"/>
    <w:rsid w:val="00786983"/>
    <w:rsid w:val="00786CC0"/>
    <w:rsid w:val="00787586"/>
    <w:rsid w:val="007876CB"/>
    <w:rsid w:val="0078777B"/>
    <w:rsid w:val="00787B2C"/>
    <w:rsid w:val="00787B31"/>
    <w:rsid w:val="00787C43"/>
    <w:rsid w:val="00787C4A"/>
    <w:rsid w:val="00787C8D"/>
    <w:rsid w:val="00787DAB"/>
    <w:rsid w:val="00787F3D"/>
    <w:rsid w:val="00790543"/>
    <w:rsid w:val="0079063F"/>
    <w:rsid w:val="00790885"/>
    <w:rsid w:val="00790AC8"/>
    <w:rsid w:val="00790E1F"/>
    <w:rsid w:val="00790F17"/>
    <w:rsid w:val="00791020"/>
    <w:rsid w:val="00791248"/>
    <w:rsid w:val="007912FB"/>
    <w:rsid w:val="00791410"/>
    <w:rsid w:val="007915D9"/>
    <w:rsid w:val="00791926"/>
    <w:rsid w:val="00791A84"/>
    <w:rsid w:val="00791ACE"/>
    <w:rsid w:val="00791B39"/>
    <w:rsid w:val="00791D3D"/>
    <w:rsid w:val="00791F2C"/>
    <w:rsid w:val="007920D5"/>
    <w:rsid w:val="007921EF"/>
    <w:rsid w:val="00792365"/>
    <w:rsid w:val="00792743"/>
    <w:rsid w:val="0079299A"/>
    <w:rsid w:val="00792A50"/>
    <w:rsid w:val="00792C3C"/>
    <w:rsid w:val="00792CDE"/>
    <w:rsid w:val="0079309B"/>
    <w:rsid w:val="007930EA"/>
    <w:rsid w:val="007932CD"/>
    <w:rsid w:val="00793503"/>
    <w:rsid w:val="00793703"/>
    <w:rsid w:val="00793AD3"/>
    <w:rsid w:val="00793B99"/>
    <w:rsid w:val="00793F48"/>
    <w:rsid w:val="00793F63"/>
    <w:rsid w:val="00793FA0"/>
    <w:rsid w:val="00794137"/>
    <w:rsid w:val="007942F2"/>
    <w:rsid w:val="00794480"/>
    <w:rsid w:val="0079456E"/>
    <w:rsid w:val="00794639"/>
    <w:rsid w:val="007946BC"/>
    <w:rsid w:val="00794950"/>
    <w:rsid w:val="00794971"/>
    <w:rsid w:val="007949C0"/>
    <w:rsid w:val="00794A46"/>
    <w:rsid w:val="00794D64"/>
    <w:rsid w:val="00794E11"/>
    <w:rsid w:val="00794F72"/>
    <w:rsid w:val="00794FA2"/>
    <w:rsid w:val="0079531F"/>
    <w:rsid w:val="00795379"/>
    <w:rsid w:val="007953C9"/>
    <w:rsid w:val="0079541B"/>
    <w:rsid w:val="007954A5"/>
    <w:rsid w:val="00795783"/>
    <w:rsid w:val="007958F0"/>
    <w:rsid w:val="00795CBC"/>
    <w:rsid w:val="00795F2D"/>
    <w:rsid w:val="00796087"/>
    <w:rsid w:val="00796367"/>
    <w:rsid w:val="00796577"/>
    <w:rsid w:val="007965CD"/>
    <w:rsid w:val="00796A46"/>
    <w:rsid w:val="00796C98"/>
    <w:rsid w:val="00796DBA"/>
    <w:rsid w:val="007970B6"/>
    <w:rsid w:val="00797431"/>
    <w:rsid w:val="007974A5"/>
    <w:rsid w:val="0079757B"/>
    <w:rsid w:val="0079780D"/>
    <w:rsid w:val="007979B5"/>
    <w:rsid w:val="00797AD0"/>
    <w:rsid w:val="00797B8C"/>
    <w:rsid w:val="00797CFF"/>
    <w:rsid w:val="00797D14"/>
    <w:rsid w:val="007A000B"/>
    <w:rsid w:val="007A0058"/>
    <w:rsid w:val="007A01C2"/>
    <w:rsid w:val="007A02DA"/>
    <w:rsid w:val="007A03B7"/>
    <w:rsid w:val="007A0453"/>
    <w:rsid w:val="007A05B0"/>
    <w:rsid w:val="007A08C3"/>
    <w:rsid w:val="007A0944"/>
    <w:rsid w:val="007A0A8C"/>
    <w:rsid w:val="007A0C1A"/>
    <w:rsid w:val="007A0C5C"/>
    <w:rsid w:val="007A0DB9"/>
    <w:rsid w:val="007A10CA"/>
    <w:rsid w:val="007A17F2"/>
    <w:rsid w:val="007A1AA8"/>
    <w:rsid w:val="007A1C43"/>
    <w:rsid w:val="007A1D3F"/>
    <w:rsid w:val="007A20A4"/>
    <w:rsid w:val="007A20CB"/>
    <w:rsid w:val="007A2489"/>
    <w:rsid w:val="007A265B"/>
    <w:rsid w:val="007A26FD"/>
    <w:rsid w:val="007A2710"/>
    <w:rsid w:val="007A2734"/>
    <w:rsid w:val="007A274E"/>
    <w:rsid w:val="007A2759"/>
    <w:rsid w:val="007A2817"/>
    <w:rsid w:val="007A2923"/>
    <w:rsid w:val="007A2E33"/>
    <w:rsid w:val="007A2ECE"/>
    <w:rsid w:val="007A33A4"/>
    <w:rsid w:val="007A376A"/>
    <w:rsid w:val="007A398A"/>
    <w:rsid w:val="007A3A02"/>
    <w:rsid w:val="007A3C56"/>
    <w:rsid w:val="007A3E00"/>
    <w:rsid w:val="007A4027"/>
    <w:rsid w:val="007A4066"/>
    <w:rsid w:val="007A4624"/>
    <w:rsid w:val="007A4634"/>
    <w:rsid w:val="007A4A21"/>
    <w:rsid w:val="007A4AB4"/>
    <w:rsid w:val="007A4C07"/>
    <w:rsid w:val="007A4CD4"/>
    <w:rsid w:val="007A4E8A"/>
    <w:rsid w:val="007A5491"/>
    <w:rsid w:val="007A579C"/>
    <w:rsid w:val="007A594E"/>
    <w:rsid w:val="007A5A3C"/>
    <w:rsid w:val="007A6011"/>
    <w:rsid w:val="007A6238"/>
    <w:rsid w:val="007A64C7"/>
    <w:rsid w:val="007A6CA3"/>
    <w:rsid w:val="007A6CCE"/>
    <w:rsid w:val="007A6E45"/>
    <w:rsid w:val="007A7141"/>
    <w:rsid w:val="007A72A6"/>
    <w:rsid w:val="007A7492"/>
    <w:rsid w:val="007A751B"/>
    <w:rsid w:val="007A7529"/>
    <w:rsid w:val="007A75C0"/>
    <w:rsid w:val="007A7658"/>
    <w:rsid w:val="007A76F8"/>
    <w:rsid w:val="007A77A6"/>
    <w:rsid w:val="007A77BA"/>
    <w:rsid w:val="007A77E7"/>
    <w:rsid w:val="007A7C12"/>
    <w:rsid w:val="007A7CAE"/>
    <w:rsid w:val="007A7CF8"/>
    <w:rsid w:val="007A7D11"/>
    <w:rsid w:val="007A7D91"/>
    <w:rsid w:val="007A7EBA"/>
    <w:rsid w:val="007A7ED0"/>
    <w:rsid w:val="007A7ED6"/>
    <w:rsid w:val="007A7F73"/>
    <w:rsid w:val="007B017A"/>
    <w:rsid w:val="007B01A8"/>
    <w:rsid w:val="007B0561"/>
    <w:rsid w:val="007B0617"/>
    <w:rsid w:val="007B0843"/>
    <w:rsid w:val="007B0A46"/>
    <w:rsid w:val="007B0C1E"/>
    <w:rsid w:val="007B0D80"/>
    <w:rsid w:val="007B0DB7"/>
    <w:rsid w:val="007B0F05"/>
    <w:rsid w:val="007B0F7B"/>
    <w:rsid w:val="007B1028"/>
    <w:rsid w:val="007B1495"/>
    <w:rsid w:val="007B162B"/>
    <w:rsid w:val="007B18BD"/>
    <w:rsid w:val="007B1ED8"/>
    <w:rsid w:val="007B1EE7"/>
    <w:rsid w:val="007B20AA"/>
    <w:rsid w:val="007B20E5"/>
    <w:rsid w:val="007B2343"/>
    <w:rsid w:val="007B256C"/>
    <w:rsid w:val="007B261C"/>
    <w:rsid w:val="007B2C36"/>
    <w:rsid w:val="007B2DA2"/>
    <w:rsid w:val="007B318F"/>
    <w:rsid w:val="007B31CC"/>
    <w:rsid w:val="007B330E"/>
    <w:rsid w:val="007B35D8"/>
    <w:rsid w:val="007B38D1"/>
    <w:rsid w:val="007B3E13"/>
    <w:rsid w:val="007B3EC2"/>
    <w:rsid w:val="007B3FC1"/>
    <w:rsid w:val="007B403F"/>
    <w:rsid w:val="007B4232"/>
    <w:rsid w:val="007B431F"/>
    <w:rsid w:val="007B45AA"/>
    <w:rsid w:val="007B49D0"/>
    <w:rsid w:val="007B4A12"/>
    <w:rsid w:val="007B4BE5"/>
    <w:rsid w:val="007B4BEA"/>
    <w:rsid w:val="007B4D06"/>
    <w:rsid w:val="007B4F91"/>
    <w:rsid w:val="007B50A2"/>
    <w:rsid w:val="007B51B2"/>
    <w:rsid w:val="007B533C"/>
    <w:rsid w:val="007B5528"/>
    <w:rsid w:val="007B55C2"/>
    <w:rsid w:val="007B59E8"/>
    <w:rsid w:val="007B5A8A"/>
    <w:rsid w:val="007B5AF4"/>
    <w:rsid w:val="007B5B36"/>
    <w:rsid w:val="007B5D12"/>
    <w:rsid w:val="007B5E02"/>
    <w:rsid w:val="007B5E16"/>
    <w:rsid w:val="007B6264"/>
    <w:rsid w:val="007B631A"/>
    <w:rsid w:val="007B662E"/>
    <w:rsid w:val="007B66DF"/>
    <w:rsid w:val="007B6987"/>
    <w:rsid w:val="007B69DF"/>
    <w:rsid w:val="007B69F5"/>
    <w:rsid w:val="007B6A69"/>
    <w:rsid w:val="007B6D09"/>
    <w:rsid w:val="007B6E33"/>
    <w:rsid w:val="007B6EA1"/>
    <w:rsid w:val="007B6FE3"/>
    <w:rsid w:val="007B70A6"/>
    <w:rsid w:val="007B71B8"/>
    <w:rsid w:val="007B71CF"/>
    <w:rsid w:val="007B72D7"/>
    <w:rsid w:val="007B7383"/>
    <w:rsid w:val="007B75B7"/>
    <w:rsid w:val="007B77EB"/>
    <w:rsid w:val="007B79CF"/>
    <w:rsid w:val="007B7A43"/>
    <w:rsid w:val="007B7BEF"/>
    <w:rsid w:val="007B7CAB"/>
    <w:rsid w:val="007C01F8"/>
    <w:rsid w:val="007C0302"/>
    <w:rsid w:val="007C0639"/>
    <w:rsid w:val="007C06DF"/>
    <w:rsid w:val="007C0996"/>
    <w:rsid w:val="007C0C07"/>
    <w:rsid w:val="007C0DB3"/>
    <w:rsid w:val="007C0F5A"/>
    <w:rsid w:val="007C0FF1"/>
    <w:rsid w:val="007C117B"/>
    <w:rsid w:val="007C1258"/>
    <w:rsid w:val="007C12F7"/>
    <w:rsid w:val="007C15D7"/>
    <w:rsid w:val="007C1B22"/>
    <w:rsid w:val="007C1B58"/>
    <w:rsid w:val="007C1C54"/>
    <w:rsid w:val="007C1CB2"/>
    <w:rsid w:val="007C1F31"/>
    <w:rsid w:val="007C217E"/>
    <w:rsid w:val="007C2415"/>
    <w:rsid w:val="007C2894"/>
    <w:rsid w:val="007C2E28"/>
    <w:rsid w:val="007C2E99"/>
    <w:rsid w:val="007C2F58"/>
    <w:rsid w:val="007C2FD8"/>
    <w:rsid w:val="007C317B"/>
    <w:rsid w:val="007C31F6"/>
    <w:rsid w:val="007C33CE"/>
    <w:rsid w:val="007C340C"/>
    <w:rsid w:val="007C3620"/>
    <w:rsid w:val="007C3761"/>
    <w:rsid w:val="007C3A60"/>
    <w:rsid w:val="007C4028"/>
    <w:rsid w:val="007C403F"/>
    <w:rsid w:val="007C439A"/>
    <w:rsid w:val="007C4443"/>
    <w:rsid w:val="007C4596"/>
    <w:rsid w:val="007C4667"/>
    <w:rsid w:val="007C4706"/>
    <w:rsid w:val="007C4899"/>
    <w:rsid w:val="007C48FD"/>
    <w:rsid w:val="007C49D9"/>
    <w:rsid w:val="007C4E4E"/>
    <w:rsid w:val="007C53AB"/>
    <w:rsid w:val="007C53FE"/>
    <w:rsid w:val="007C558F"/>
    <w:rsid w:val="007C5700"/>
    <w:rsid w:val="007C57E5"/>
    <w:rsid w:val="007C5C5C"/>
    <w:rsid w:val="007C5C61"/>
    <w:rsid w:val="007C5D90"/>
    <w:rsid w:val="007C5DB0"/>
    <w:rsid w:val="007C5FA5"/>
    <w:rsid w:val="007C6237"/>
    <w:rsid w:val="007C669B"/>
    <w:rsid w:val="007C66B0"/>
    <w:rsid w:val="007C6B12"/>
    <w:rsid w:val="007C6D14"/>
    <w:rsid w:val="007C6D61"/>
    <w:rsid w:val="007C6DFF"/>
    <w:rsid w:val="007C7101"/>
    <w:rsid w:val="007C71A4"/>
    <w:rsid w:val="007C721A"/>
    <w:rsid w:val="007C7226"/>
    <w:rsid w:val="007C7523"/>
    <w:rsid w:val="007C7538"/>
    <w:rsid w:val="007C7760"/>
    <w:rsid w:val="007C78C9"/>
    <w:rsid w:val="007D0084"/>
    <w:rsid w:val="007D0110"/>
    <w:rsid w:val="007D0160"/>
    <w:rsid w:val="007D01C1"/>
    <w:rsid w:val="007D0496"/>
    <w:rsid w:val="007D0627"/>
    <w:rsid w:val="007D075F"/>
    <w:rsid w:val="007D086F"/>
    <w:rsid w:val="007D0B85"/>
    <w:rsid w:val="007D0CC9"/>
    <w:rsid w:val="007D118A"/>
    <w:rsid w:val="007D136D"/>
    <w:rsid w:val="007D1486"/>
    <w:rsid w:val="007D15C8"/>
    <w:rsid w:val="007D1616"/>
    <w:rsid w:val="007D195F"/>
    <w:rsid w:val="007D1B7F"/>
    <w:rsid w:val="007D1FE1"/>
    <w:rsid w:val="007D2125"/>
    <w:rsid w:val="007D2157"/>
    <w:rsid w:val="007D2263"/>
    <w:rsid w:val="007D253B"/>
    <w:rsid w:val="007D2876"/>
    <w:rsid w:val="007D2B9C"/>
    <w:rsid w:val="007D2C28"/>
    <w:rsid w:val="007D2F76"/>
    <w:rsid w:val="007D2FF7"/>
    <w:rsid w:val="007D30C8"/>
    <w:rsid w:val="007D3253"/>
    <w:rsid w:val="007D34A8"/>
    <w:rsid w:val="007D35F1"/>
    <w:rsid w:val="007D3686"/>
    <w:rsid w:val="007D383B"/>
    <w:rsid w:val="007D3AE5"/>
    <w:rsid w:val="007D3BAD"/>
    <w:rsid w:val="007D3C6F"/>
    <w:rsid w:val="007D3CBC"/>
    <w:rsid w:val="007D3EA7"/>
    <w:rsid w:val="007D4098"/>
    <w:rsid w:val="007D4657"/>
    <w:rsid w:val="007D4A15"/>
    <w:rsid w:val="007D4A2D"/>
    <w:rsid w:val="007D4B09"/>
    <w:rsid w:val="007D4C16"/>
    <w:rsid w:val="007D4D2F"/>
    <w:rsid w:val="007D4DC0"/>
    <w:rsid w:val="007D4EED"/>
    <w:rsid w:val="007D5273"/>
    <w:rsid w:val="007D5463"/>
    <w:rsid w:val="007D54C3"/>
    <w:rsid w:val="007D56AC"/>
    <w:rsid w:val="007D58AE"/>
    <w:rsid w:val="007D597A"/>
    <w:rsid w:val="007D59DA"/>
    <w:rsid w:val="007D5A96"/>
    <w:rsid w:val="007D5B6D"/>
    <w:rsid w:val="007D5E2E"/>
    <w:rsid w:val="007D60AA"/>
    <w:rsid w:val="007D60FB"/>
    <w:rsid w:val="007D62A4"/>
    <w:rsid w:val="007D63B6"/>
    <w:rsid w:val="007D6526"/>
    <w:rsid w:val="007D6650"/>
    <w:rsid w:val="007D6789"/>
    <w:rsid w:val="007D6808"/>
    <w:rsid w:val="007D683C"/>
    <w:rsid w:val="007D69FB"/>
    <w:rsid w:val="007D703E"/>
    <w:rsid w:val="007D74B4"/>
    <w:rsid w:val="007D7628"/>
    <w:rsid w:val="007D79A1"/>
    <w:rsid w:val="007D7BA6"/>
    <w:rsid w:val="007D7BC9"/>
    <w:rsid w:val="007D7C82"/>
    <w:rsid w:val="007D7E54"/>
    <w:rsid w:val="007E004E"/>
    <w:rsid w:val="007E0376"/>
    <w:rsid w:val="007E087D"/>
    <w:rsid w:val="007E0A34"/>
    <w:rsid w:val="007E0BDC"/>
    <w:rsid w:val="007E0C05"/>
    <w:rsid w:val="007E0C65"/>
    <w:rsid w:val="007E0DB7"/>
    <w:rsid w:val="007E102D"/>
    <w:rsid w:val="007E1203"/>
    <w:rsid w:val="007E1454"/>
    <w:rsid w:val="007E16D0"/>
    <w:rsid w:val="007E1DE7"/>
    <w:rsid w:val="007E1F8B"/>
    <w:rsid w:val="007E1FEF"/>
    <w:rsid w:val="007E23CB"/>
    <w:rsid w:val="007E2400"/>
    <w:rsid w:val="007E2452"/>
    <w:rsid w:val="007E2573"/>
    <w:rsid w:val="007E2639"/>
    <w:rsid w:val="007E2819"/>
    <w:rsid w:val="007E292C"/>
    <w:rsid w:val="007E297D"/>
    <w:rsid w:val="007E2D68"/>
    <w:rsid w:val="007E2ED8"/>
    <w:rsid w:val="007E3168"/>
    <w:rsid w:val="007E31E1"/>
    <w:rsid w:val="007E3410"/>
    <w:rsid w:val="007E3500"/>
    <w:rsid w:val="007E3550"/>
    <w:rsid w:val="007E35CB"/>
    <w:rsid w:val="007E3894"/>
    <w:rsid w:val="007E3A03"/>
    <w:rsid w:val="007E3A5B"/>
    <w:rsid w:val="007E3CA1"/>
    <w:rsid w:val="007E40C1"/>
    <w:rsid w:val="007E40CC"/>
    <w:rsid w:val="007E40F4"/>
    <w:rsid w:val="007E4130"/>
    <w:rsid w:val="007E4278"/>
    <w:rsid w:val="007E44E1"/>
    <w:rsid w:val="007E4692"/>
    <w:rsid w:val="007E4B3E"/>
    <w:rsid w:val="007E4C03"/>
    <w:rsid w:val="007E4DBF"/>
    <w:rsid w:val="007E4E10"/>
    <w:rsid w:val="007E5159"/>
    <w:rsid w:val="007E52F7"/>
    <w:rsid w:val="007E5321"/>
    <w:rsid w:val="007E5688"/>
    <w:rsid w:val="007E5819"/>
    <w:rsid w:val="007E5A18"/>
    <w:rsid w:val="007E5D20"/>
    <w:rsid w:val="007E5D68"/>
    <w:rsid w:val="007E5F17"/>
    <w:rsid w:val="007E5FFD"/>
    <w:rsid w:val="007E607E"/>
    <w:rsid w:val="007E64FB"/>
    <w:rsid w:val="007E6878"/>
    <w:rsid w:val="007E6B03"/>
    <w:rsid w:val="007E6CE8"/>
    <w:rsid w:val="007E6DF6"/>
    <w:rsid w:val="007E7014"/>
    <w:rsid w:val="007E719F"/>
    <w:rsid w:val="007E72AB"/>
    <w:rsid w:val="007E7565"/>
    <w:rsid w:val="007E783C"/>
    <w:rsid w:val="007E7A1C"/>
    <w:rsid w:val="007E7B3B"/>
    <w:rsid w:val="007E7B58"/>
    <w:rsid w:val="007E7D1D"/>
    <w:rsid w:val="007E7D6B"/>
    <w:rsid w:val="007F007E"/>
    <w:rsid w:val="007F02C2"/>
    <w:rsid w:val="007F02D7"/>
    <w:rsid w:val="007F0F29"/>
    <w:rsid w:val="007F141B"/>
    <w:rsid w:val="007F152C"/>
    <w:rsid w:val="007F1531"/>
    <w:rsid w:val="007F169B"/>
    <w:rsid w:val="007F19B7"/>
    <w:rsid w:val="007F1A7B"/>
    <w:rsid w:val="007F1BC4"/>
    <w:rsid w:val="007F1BF3"/>
    <w:rsid w:val="007F1C49"/>
    <w:rsid w:val="007F1C55"/>
    <w:rsid w:val="007F1CBB"/>
    <w:rsid w:val="007F1F32"/>
    <w:rsid w:val="007F2017"/>
    <w:rsid w:val="007F2053"/>
    <w:rsid w:val="007F2082"/>
    <w:rsid w:val="007F20CB"/>
    <w:rsid w:val="007F22D6"/>
    <w:rsid w:val="007F248F"/>
    <w:rsid w:val="007F24F0"/>
    <w:rsid w:val="007F2995"/>
    <w:rsid w:val="007F29E5"/>
    <w:rsid w:val="007F2A3C"/>
    <w:rsid w:val="007F2A67"/>
    <w:rsid w:val="007F2FBA"/>
    <w:rsid w:val="007F30E3"/>
    <w:rsid w:val="007F3304"/>
    <w:rsid w:val="007F3537"/>
    <w:rsid w:val="007F3D95"/>
    <w:rsid w:val="007F3EE4"/>
    <w:rsid w:val="007F3F2F"/>
    <w:rsid w:val="007F3F70"/>
    <w:rsid w:val="007F3FB0"/>
    <w:rsid w:val="007F4074"/>
    <w:rsid w:val="007F40E3"/>
    <w:rsid w:val="007F41E7"/>
    <w:rsid w:val="007F43F8"/>
    <w:rsid w:val="007F4507"/>
    <w:rsid w:val="007F480B"/>
    <w:rsid w:val="007F480C"/>
    <w:rsid w:val="007F49F7"/>
    <w:rsid w:val="007F4AD5"/>
    <w:rsid w:val="007F4D57"/>
    <w:rsid w:val="007F4EAC"/>
    <w:rsid w:val="007F50F4"/>
    <w:rsid w:val="007F5430"/>
    <w:rsid w:val="007F54C8"/>
    <w:rsid w:val="007F55DB"/>
    <w:rsid w:val="007F55F6"/>
    <w:rsid w:val="007F58C8"/>
    <w:rsid w:val="007F59D0"/>
    <w:rsid w:val="007F5CCE"/>
    <w:rsid w:val="007F5D94"/>
    <w:rsid w:val="007F5F2C"/>
    <w:rsid w:val="007F5F9F"/>
    <w:rsid w:val="007F61FC"/>
    <w:rsid w:val="007F635C"/>
    <w:rsid w:val="007F646F"/>
    <w:rsid w:val="007F69F1"/>
    <w:rsid w:val="007F6D3F"/>
    <w:rsid w:val="007F6FB8"/>
    <w:rsid w:val="007F70EC"/>
    <w:rsid w:val="007F732C"/>
    <w:rsid w:val="007F7482"/>
    <w:rsid w:val="007F76E1"/>
    <w:rsid w:val="007F7952"/>
    <w:rsid w:val="007F7EED"/>
    <w:rsid w:val="007F7FF0"/>
    <w:rsid w:val="008000E0"/>
    <w:rsid w:val="00800176"/>
    <w:rsid w:val="008001F4"/>
    <w:rsid w:val="008006AD"/>
    <w:rsid w:val="008007C8"/>
    <w:rsid w:val="00800988"/>
    <w:rsid w:val="00800DA9"/>
    <w:rsid w:val="00800DD1"/>
    <w:rsid w:val="00801190"/>
    <w:rsid w:val="0080130A"/>
    <w:rsid w:val="008013CE"/>
    <w:rsid w:val="008014F2"/>
    <w:rsid w:val="00801759"/>
    <w:rsid w:val="00801B1D"/>
    <w:rsid w:val="00801BB5"/>
    <w:rsid w:val="00801C23"/>
    <w:rsid w:val="00801DE1"/>
    <w:rsid w:val="00801EC1"/>
    <w:rsid w:val="00801F97"/>
    <w:rsid w:val="00801FCA"/>
    <w:rsid w:val="00801FF3"/>
    <w:rsid w:val="00802056"/>
    <w:rsid w:val="008021C8"/>
    <w:rsid w:val="0080236A"/>
    <w:rsid w:val="00802445"/>
    <w:rsid w:val="00802769"/>
    <w:rsid w:val="0080281E"/>
    <w:rsid w:val="0080299D"/>
    <w:rsid w:val="00802DF9"/>
    <w:rsid w:val="00802FD8"/>
    <w:rsid w:val="008032C0"/>
    <w:rsid w:val="00803336"/>
    <w:rsid w:val="00803395"/>
    <w:rsid w:val="008038C3"/>
    <w:rsid w:val="008039F5"/>
    <w:rsid w:val="00803CAA"/>
    <w:rsid w:val="008040B0"/>
    <w:rsid w:val="0080411A"/>
    <w:rsid w:val="0080468B"/>
    <w:rsid w:val="008048DA"/>
    <w:rsid w:val="00804C51"/>
    <w:rsid w:val="00804F70"/>
    <w:rsid w:val="008051EA"/>
    <w:rsid w:val="00805200"/>
    <w:rsid w:val="0080525B"/>
    <w:rsid w:val="00805360"/>
    <w:rsid w:val="00805385"/>
    <w:rsid w:val="008053B0"/>
    <w:rsid w:val="008054BB"/>
    <w:rsid w:val="00805547"/>
    <w:rsid w:val="008057B0"/>
    <w:rsid w:val="00805940"/>
    <w:rsid w:val="008059D6"/>
    <w:rsid w:val="00805A48"/>
    <w:rsid w:val="00805D0F"/>
    <w:rsid w:val="008064E6"/>
    <w:rsid w:val="00806751"/>
    <w:rsid w:val="008067EE"/>
    <w:rsid w:val="00806B5D"/>
    <w:rsid w:val="00806D38"/>
    <w:rsid w:val="00806F37"/>
    <w:rsid w:val="00807348"/>
    <w:rsid w:val="00807D29"/>
    <w:rsid w:val="00807D38"/>
    <w:rsid w:val="00807F2E"/>
    <w:rsid w:val="00810394"/>
    <w:rsid w:val="00810579"/>
    <w:rsid w:val="008109AA"/>
    <w:rsid w:val="00810A5E"/>
    <w:rsid w:val="00810AF4"/>
    <w:rsid w:val="00810C1B"/>
    <w:rsid w:val="00810C2B"/>
    <w:rsid w:val="00810E8A"/>
    <w:rsid w:val="00811269"/>
    <w:rsid w:val="008112AF"/>
    <w:rsid w:val="0081142F"/>
    <w:rsid w:val="00811557"/>
    <w:rsid w:val="008117AA"/>
    <w:rsid w:val="00811811"/>
    <w:rsid w:val="0081191A"/>
    <w:rsid w:val="008119EB"/>
    <w:rsid w:val="00811A9B"/>
    <w:rsid w:val="00811C31"/>
    <w:rsid w:val="00811EA8"/>
    <w:rsid w:val="00811FE3"/>
    <w:rsid w:val="00812237"/>
    <w:rsid w:val="008122FD"/>
    <w:rsid w:val="0081231E"/>
    <w:rsid w:val="00812D01"/>
    <w:rsid w:val="00812D82"/>
    <w:rsid w:val="00812E18"/>
    <w:rsid w:val="00812EB4"/>
    <w:rsid w:val="00812EDF"/>
    <w:rsid w:val="0081324F"/>
    <w:rsid w:val="00813323"/>
    <w:rsid w:val="008133E2"/>
    <w:rsid w:val="008133F8"/>
    <w:rsid w:val="008137C3"/>
    <w:rsid w:val="00813CA3"/>
    <w:rsid w:val="00814043"/>
    <w:rsid w:val="0081420A"/>
    <w:rsid w:val="008142F5"/>
    <w:rsid w:val="008146A1"/>
    <w:rsid w:val="00814773"/>
    <w:rsid w:val="00814B1B"/>
    <w:rsid w:val="00814DF0"/>
    <w:rsid w:val="0081505F"/>
    <w:rsid w:val="00815085"/>
    <w:rsid w:val="008150EF"/>
    <w:rsid w:val="00815143"/>
    <w:rsid w:val="008155A1"/>
    <w:rsid w:val="00815787"/>
    <w:rsid w:val="00815A54"/>
    <w:rsid w:val="00815AE4"/>
    <w:rsid w:val="00815BF8"/>
    <w:rsid w:val="00815D07"/>
    <w:rsid w:val="00815E7B"/>
    <w:rsid w:val="0081619D"/>
    <w:rsid w:val="008163D0"/>
    <w:rsid w:val="008165CD"/>
    <w:rsid w:val="00816888"/>
    <w:rsid w:val="00816970"/>
    <w:rsid w:val="0081699D"/>
    <w:rsid w:val="00816BD0"/>
    <w:rsid w:val="00816C7E"/>
    <w:rsid w:val="00816F35"/>
    <w:rsid w:val="00817124"/>
    <w:rsid w:val="008171B9"/>
    <w:rsid w:val="00817267"/>
    <w:rsid w:val="00817280"/>
    <w:rsid w:val="0081747F"/>
    <w:rsid w:val="00817526"/>
    <w:rsid w:val="00817784"/>
    <w:rsid w:val="00817918"/>
    <w:rsid w:val="00817A34"/>
    <w:rsid w:val="00820073"/>
    <w:rsid w:val="00820108"/>
    <w:rsid w:val="00820158"/>
    <w:rsid w:val="00820166"/>
    <w:rsid w:val="008203AC"/>
    <w:rsid w:val="00820457"/>
    <w:rsid w:val="008204E0"/>
    <w:rsid w:val="008206E3"/>
    <w:rsid w:val="00820776"/>
    <w:rsid w:val="00820A5A"/>
    <w:rsid w:val="00820B6D"/>
    <w:rsid w:val="00820CD8"/>
    <w:rsid w:val="00820F55"/>
    <w:rsid w:val="008211DA"/>
    <w:rsid w:val="00821317"/>
    <w:rsid w:val="0082133F"/>
    <w:rsid w:val="00821372"/>
    <w:rsid w:val="00821663"/>
    <w:rsid w:val="0082192B"/>
    <w:rsid w:val="008221EC"/>
    <w:rsid w:val="00822276"/>
    <w:rsid w:val="0082249E"/>
    <w:rsid w:val="00822820"/>
    <w:rsid w:val="008229F1"/>
    <w:rsid w:val="00823294"/>
    <w:rsid w:val="008236BF"/>
    <w:rsid w:val="008236EC"/>
    <w:rsid w:val="0082389B"/>
    <w:rsid w:val="00823917"/>
    <w:rsid w:val="00823935"/>
    <w:rsid w:val="00823C27"/>
    <w:rsid w:val="00823C65"/>
    <w:rsid w:val="00823E83"/>
    <w:rsid w:val="00823EE9"/>
    <w:rsid w:val="008241E0"/>
    <w:rsid w:val="00824867"/>
    <w:rsid w:val="00824AEC"/>
    <w:rsid w:val="00824B43"/>
    <w:rsid w:val="00824BDA"/>
    <w:rsid w:val="00824D54"/>
    <w:rsid w:val="00824DD2"/>
    <w:rsid w:val="00824FEF"/>
    <w:rsid w:val="00825911"/>
    <w:rsid w:val="00825B55"/>
    <w:rsid w:val="00825BD0"/>
    <w:rsid w:val="00825C5F"/>
    <w:rsid w:val="00825CC0"/>
    <w:rsid w:val="00825DF1"/>
    <w:rsid w:val="00826149"/>
    <w:rsid w:val="00826840"/>
    <w:rsid w:val="00826919"/>
    <w:rsid w:val="00826C4E"/>
    <w:rsid w:val="00826F9B"/>
    <w:rsid w:val="00827003"/>
    <w:rsid w:val="0082758D"/>
    <w:rsid w:val="0082765B"/>
    <w:rsid w:val="0082778A"/>
    <w:rsid w:val="008277C2"/>
    <w:rsid w:val="00827979"/>
    <w:rsid w:val="00827AF8"/>
    <w:rsid w:val="00827C6F"/>
    <w:rsid w:val="00827CB4"/>
    <w:rsid w:val="00827DAE"/>
    <w:rsid w:val="008300D9"/>
    <w:rsid w:val="008302E7"/>
    <w:rsid w:val="00830587"/>
    <w:rsid w:val="008307A9"/>
    <w:rsid w:val="00830994"/>
    <w:rsid w:val="008309E2"/>
    <w:rsid w:val="008309E8"/>
    <w:rsid w:val="00830D45"/>
    <w:rsid w:val="00830EF6"/>
    <w:rsid w:val="00830F19"/>
    <w:rsid w:val="00830F70"/>
    <w:rsid w:val="00830FE6"/>
    <w:rsid w:val="0083108E"/>
    <w:rsid w:val="0083121E"/>
    <w:rsid w:val="0083129C"/>
    <w:rsid w:val="008312D4"/>
    <w:rsid w:val="0083172B"/>
    <w:rsid w:val="00831959"/>
    <w:rsid w:val="008319CA"/>
    <w:rsid w:val="00831F94"/>
    <w:rsid w:val="00832012"/>
    <w:rsid w:val="00832199"/>
    <w:rsid w:val="008324BF"/>
    <w:rsid w:val="00832611"/>
    <w:rsid w:val="0083274D"/>
    <w:rsid w:val="008329BB"/>
    <w:rsid w:val="00832B75"/>
    <w:rsid w:val="00832C0F"/>
    <w:rsid w:val="00832CCB"/>
    <w:rsid w:val="0083300D"/>
    <w:rsid w:val="00833025"/>
    <w:rsid w:val="0083316F"/>
    <w:rsid w:val="00833278"/>
    <w:rsid w:val="008335AD"/>
    <w:rsid w:val="008335EC"/>
    <w:rsid w:val="0083363A"/>
    <w:rsid w:val="008337DC"/>
    <w:rsid w:val="008337E0"/>
    <w:rsid w:val="00833810"/>
    <w:rsid w:val="0083388D"/>
    <w:rsid w:val="008338F7"/>
    <w:rsid w:val="008339E7"/>
    <w:rsid w:val="00833B22"/>
    <w:rsid w:val="00833F00"/>
    <w:rsid w:val="008341E1"/>
    <w:rsid w:val="00834457"/>
    <w:rsid w:val="008345A4"/>
    <w:rsid w:val="0083474D"/>
    <w:rsid w:val="0083481F"/>
    <w:rsid w:val="008348B5"/>
    <w:rsid w:val="00834919"/>
    <w:rsid w:val="00834A38"/>
    <w:rsid w:val="00834BF8"/>
    <w:rsid w:val="00834EC2"/>
    <w:rsid w:val="008352BF"/>
    <w:rsid w:val="008352C3"/>
    <w:rsid w:val="0083535E"/>
    <w:rsid w:val="00835451"/>
    <w:rsid w:val="0083548B"/>
    <w:rsid w:val="008354DD"/>
    <w:rsid w:val="008356B0"/>
    <w:rsid w:val="0083599B"/>
    <w:rsid w:val="00835A9C"/>
    <w:rsid w:val="00835B09"/>
    <w:rsid w:val="00835FF4"/>
    <w:rsid w:val="00836008"/>
    <w:rsid w:val="008361DA"/>
    <w:rsid w:val="00836335"/>
    <w:rsid w:val="00836644"/>
    <w:rsid w:val="008368AA"/>
    <w:rsid w:val="008369EE"/>
    <w:rsid w:val="00836DA8"/>
    <w:rsid w:val="00836EF1"/>
    <w:rsid w:val="00836F37"/>
    <w:rsid w:val="0083712B"/>
    <w:rsid w:val="00837215"/>
    <w:rsid w:val="0083730F"/>
    <w:rsid w:val="008375BE"/>
    <w:rsid w:val="00837829"/>
    <w:rsid w:val="008379AA"/>
    <w:rsid w:val="00837A31"/>
    <w:rsid w:val="00837D13"/>
    <w:rsid w:val="00837EB0"/>
    <w:rsid w:val="00840088"/>
    <w:rsid w:val="0084016D"/>
    <w:rsid w:val="008402B3"/>
    <w:rsid w:val="0084054D"/>
    <w:rsid w:val="00840660"/>
    <w:rsid w:val="008406C6"/>
    <w:rsid w:val="0084074F"/>
    <w:rsid w:val="00840770"/>
    <w:rsid w:val="00841100"/>
    <w:rsid w:val="008412AE"/>
    <w:rsid w:val="00841318"/>
    <w:rsid w:val="0084142E"/>
    <w:rsid w:val="00841450"/>
    <w:rsid w:val="008416CE"/>
    <w:rsid w:val="00841751"/>
    <w:rsid w:val="008418D3"/>
    <w:rsid w:val="00841C76"/>
    <w:rsid w:val="00841CC2"/>
    <w:rsid w:val="00841DDC"/>
    <w:rsid w:val="00841FDF"/>
    <w:rsid w:val="00842195"/>
    <w:rsid w:val="008421A1"/>
    <w:rsid w:val="008426CF"/>
    <w:rsid w:val="00842BB5"/>
    <w:rsid w:val="00842C08"/>
    <w:rsid w:val="00842CAB"/>
    <w:rsid w:val="00842EAC"/>
    <w:rsid w:val="00842F19"/>
    <w:rsid w:val="008430DF"/>
    <w:rsid w:val="00843282"/>
    <w:rsid w:val="008434D3"/>
    <w:rsid w:val="00843718"/>
    <w:rsid w:val="00843731"/>
    <w:rsid w:val="00843864"/>
    <w:rsid w:val="00843909"/>
    <w:rsid w:val="00843933"/>
    <w:rsid w:val="008439BC"/>
    <w:rsid w:val="00843B92"/>
    <w:rsid w:val="00843F31"/>
    <w:rsid w:val="00844014"/>
    <w:rsid w:val="008440A5"/>
    <w:rsid w:val="00844222"/>
    <w:rsid w:val="0084435D"/>
    <w:rsid w:val="0084454A"/>
    <w:rsid w:val="008446BD"/>
    <w:rsid w:val="00844CD2"/>
    <w:rsid w:val="00844DE1"/>
    <w:rsid w:val="008452C1"/>
    <w:rsid w:val="00845322"/>
    <w:rsid w:val="008453DB"/>
    <w:rsid w:val="00845895"/>
    <w:rsid w:val="00845C30"/>
    <w:rsid w:val="00845D53"/>
    <w:rsid w:val="008461B3"/>
    <w:rsid w:val="008461D1"/>
    <w:rsid w:val="0084642F"/>
    <w:rsid w:val="0084675E"/>
    <w:rsid w:val="00846777"/>
    <w:rsid w:val="00846861"/>
    <w:rsid w:val="008469D2"/>
    <w:rsid w:val="00846A0A"/>
    <w:rsid w:val="00846DC6"/>
    <w:rsid w:val="00847107"/>
    <w:rsid w:val="0084727A"/>
    <w:rsid w:val="00847453"/>
    <w:rsid w:val="00847588"/>
    <w:rsid w:val="008475AB"/>
    <w:rsid w:val="008477AD"/>
    <w:rsid w:val="00847BE6"/>
    <w:rsid w:val="00847ED4"/>
    <w:rsid w:val="0085008B"/>
    <w:rsid w:val="008501B2"/>
    <w:rsid w:val="008503B3"/>
    <w:rsid w:val="00850816"/>
    <w:rsid w:val="0085093A"/>
    <w:rsid w:val="00850AD0"/>
    <w:rsid w:val="00850B73"/>
    <w:rsid w:val="0085154D"/>
    <w:rsid w:val="008517F6"/>
    <w:rsid w:val="00851834"/>
    <w:rsid w:val="00851902"/>
    <w:rsid w:val="0085199E"/>
    <w:rsid w:val="00851E7C"/>
    <w:rsid w:val="00851EBF"/>
    <w:rsid w:val="00851EDA"/>
    <w:rsid w:val="008523A9"/>
    <w:rsid w:val="0085261E"/>
    <w:rsid w:val="008526D1"/>
    <w:rsid w:val="00852729"/>
    <w:rsid w:val="008527C1"/>
    <w:rsid w:val="00852974"/>
    <w:rsid w:val="00852995"/>
    <w:rsid w:val="00852BA3"/>
    <w:rsid w:val="00852BB8"/>
    <w:rsid w:val="00852D2B"/>
    <w:rsid w:val="00852E58"/>
    <w:rsid w:val="00853001"/>
    <w:rsid w:val="00853147"/>
    <w:rsid w:val="008531D3"/>
    <w:rsid w:val="008532B8"/>
    <w:rsid w:val="00853346"/>
    <w:rsid w:val="0085350E"/>
    <w:rsid w:val="008535A5"/>
    <w:rsid w:val="00853747"/>
    <w:rsid w:val="00853752"/>
    <w:rsid w:val="00853767"/>
    <w:rsid w:val="008539C2"/>
    <w:rsid w:val="00853D55"/>
    <w:rsid w:val="00853DC9"/>
    <w:rsid w:val="00853DEA"/>
    <w:rsid w:val="00853EF3"/>
    <w:rsid w:val="00853FE2"/>
    <w:rsid w:val="008540D2"/>
    <w:rsid w:val="008540E9"/>
    <w:rsid w:val="0085419C"/>
    <w:rsid w:val="00854232"/>
    <w:rsid w:val="00854607"/>
    <w:rsid w:val="008546BC"/>
    <w:rsid w:val="00854701"/>
    <w:rsid w:val="00854B66"/>
    <w:rsid w:val="00854DB7"/>
    <w:rsid w:val="00854E5B"/>
    <w:rsid w:val="00854FF9"/>
    <w:rsid w:val="0085530B"/>
    <w:rsid w:val="008554E0"/>
    <w:rsid w:val="00855803"/>
    <w:rsid w:val="008559C3"/>
    <w:rsid w:val="00855AF1"/>
    <w:rsid w:val="00855B16"/>
    <w:rsid w:val="00855BF3"/>
    <w:rsid w:val="00855CD4"/>
    <w:rsid w:val="00855DF7"/>
    <w:rsid w:val="00855E19"/>
    <w:rsid w:val="00855ED3"/>
    <w:rsid w:val="00856200"/>
    <w:rsid w:val="008562C5"/>
    <w:rsid w:val="0085653B"/>
    <w:rsid w:val="008566E1"/>
    <w:rsid w:val="00856754"/>
    <w:rsid w:val="0085679B"/>
    <w:rsid w:val="0085686C"/>
    <w:rsid w:val="00856CCF"/>
    <w:rsid w:val="008570FC"/>
    <w:rsid w:val="008572A7"/>
    <w:rsid w:val="0085796F"/>
    <w:rsid w:val="008579DD"/>
    <w:rsid w:val="00857B6F"/>
    <w:rsid w:val="00857ED8"/>
    <w:rsid w:val="00857F43"/>
    <w:rsid w:val="00857F9C"/>
    <w:rsid w:val="00860073"/>
    <w:rsid w:val="0086010C"/>
    <w:rsid w:val="00860222"/>
    <w:rsid w:val="008602DD"/>
    <w:rsid w:val="008602F4"/>
    <w:rsid w:val="008605DD"/>
    <w:rsid w:val="00860637"/>
    <w:rsid w:val="0086078C"/>
    <w:rsid w:val="008608BA"/>
    <w:rsid w:val="0086093D"/>
    <w:rsid w:val="00860A77"/>
    <w:rsid w:val="00860E1A"/>
    <w:rsid w:val="00861009"/>
    <w:rsid w:val="008611A5"/>
    <w:rsid w:val="008611F8"/>
    <w:rsid w:val="008612F3"/>
    <w:rsid w:val="00861383"/>
    <w:rsid w:val="00861540"/>
    <w:rsid w:val="008615C1"/>
    <w:rsid w:val="008618D5"/>
    <w:rsid w:val="00861AE5"/>
    <w:rsid w:val="00861B9B"/>
    <w:rsid w:val="00861BEB"/>
    <w:rsid w:val="00861CB9"/>
    <w:rsid w:val="00861CE2"/>
    <w:rsid w:val="00861DCC"/>
    <w:rsid w:val="00861EBF"/>
    <w:rsid w:val="00862595"/>
    <w:rsid w:val="008626F4"/>
    <w:rsid w:val="008630AF"/>
    <w:rsid w:val="008633E4"/>
    <w:rsid w:val="0086378E"/>
    <w:rsid w:val="00863B40"/>
    <w:rsid w:val="00863C03"/>
    <w:rsid w:val="00863DF0"/>
    <w:rsid w:val="00863F7F"/>
    <w:rsid w:val="00863FFA"/>
    <w:rsid w:val="008641F1"/>
    <w:rsid w:val="0086447D"/>
    <w:rsid w:val="0086461E"/>
    <w:rsid w:val="00864644"/>
    <w:rsid w:val="00864893"/>
    <w:rsid w:val="00864A77"/>
    <w:rsid w:val="00864D0A"/>
    <w:rsid w:val="00865320"/>
    <w:rsid w:val="0086549C"/>
    <w:rsid w:val="0086585C"/>
    <w:rsid w:val="008658EF"/>
    <w:rsid w:val="0086590E"/>
    <w:rsid w:val="00865959"/>
    <w:rsid w:val="00865C35"/>
    <w:rsid w:val="00865DF7"/>
    <w:rsid w:val="00865F7C"/>
    <w:rsid w:val="00866001"/>
    <w:rsid w:val="0086619F"/>
    <w:rsid w:val="00866865"/>
    <w:rsid w:val="00866DFC"/>
    <w:rsid w:val="00867018"/>
    <w:rsid w:val="00867100"/>
    <w:rsid w:val="00867187"/>
    <w:rsid w:val="008674FA"/>
    <w:rsid w:val="00867576"/>
    <w:rsid w:val="00867661"/>
    <w:rsid w:val="00867723"/>
    <w:rsid w:val="008679E9"/>
    <w:rsid w:val="00867A29"/>
    <w:rsid w:val="00867B13"/>
    <w:rsid w:val="00867E09"/>
    <w:rsid w:val="008701EE"/>
    <w:rsid w:val="008703B4"/>
    <w:rsid w:val="0087099B"/>
    <w:rsid w:val="00870B95"/>
    <w:rsid w:val="00870E4F"/>
    <w:rsid w:val="0087142B"/>
    <w:rsid w:val="0087175D"/>
    <w:rsid w:val="00871764"/>
    <w:rsid w:val="00871787"/>
    <w:rsid w:val="008719F6"/>
    <w:rsid w:val="00871AAD"/>
    <w:rsid w:val="00871CC8"/>
    <w:rsid w:val="00871E8B"/>
    <w:rsid w:val="0087210F"/>
    <w:rsid w:val="0087213E"/>
    <w:rsid w:val="00872295"/>
    <w:rsid w:val="00872DA6"/>
    <w:rsid w:val="00872E59"/>
    <w:rsid w:val="00873394"/>
    <w:rsid w:val="008733CB"/>
    <w:rsid w:val="00873621"/>
    <w:rsid w:val="00873740"/>
    <w:rsid w:val="00873A14"/>
    <w:rsid w:val="00873B24"/>
    <w:rsid w:val="00873C2D"/>
    <w:rsid w:val="00873FB7"/>
    <w:rsid w:val="0087418E"/>
    <w:rsid w:val="0087431D"/>
    <w:rsid w:val="00874728"/>
    <w:rsid w:val="0087495B"/>
    <w:rsid w:val="008749F0"/>
    <w:rsid w:val="00874A1D"/>
    <w:rsid w:val="00874A39"/>
    <w:rsid w:val="00874BD3"/>
    <w:rsid w:val="00874C99"/>
    <w:rsid w:val="00874DD9"/>
    <w:rsid w:val="00874F21"/>
    <w:rsid w:val="00874FB1"/>
    <w:rsid w:val="008753A1"/>
    <w:rsid w:val="00875437"/>
    <w:rsid w:val="008755C3"/>
    <w:rsid w:val="00875711"/>
    <w:rsid w:val="008759ED"/>
    <w:rsid w:val="00875A80"/>
    <w:rsid w:val="00875DC1"/>
    <w:rsid w:val="00875DD7"/>
    <w:rsid w:val="00875E8F"/>
    <w:rsid w:val="00875EB7"/>
    <w:rsid w:val="00876098"/>
    <w:rsid w:val="00876224"/>
    <w:rsid w:val="008763D4"/>
    <w:rsid w:val="008766C6"/>
    <w:rsid w:val="008767DE"/>
    <w:rsid w:val="00876A32"/>
    <w:rsid w:val="00876CEF"/>
    <w:rsid w:val="00876EF3"/>
    <w:rsid w:val="00876F38"/>
    <w:rsid w:val="0087726C"/>
    <w:rsid w:val="0087757D"/>
    <w:rsid w:val="00877619"/>
    <w:rsid w:val="0087762F"/>
    <w:rsid w:val="00877746"/>
    <w:rsid w:val="00877844"/>
    <w:rsid w:val="00877866"/>
    <w:rsid w:val="00877A39"/>
    <w:rsid w:val="00877A87"/>
    <w:rsid w:val="00877ACC"/>
    <w:rsid w:val="00877B98"/>
    <w:rsid w:val="00877C19"/>
    <w:rsid w:val="00877C73"/>
    <w:rsid w:val="008800BE"/>
    <w:rsid w:val="0088043A"/>
    <w:rsid w:val="0088062A"/>
    <w:rsid w:val="00880670"/>
    <w:rsid w:val="00880763"/>
    <w:rsid w:val="00880771"/>
    <w:rsid w:val="00880797"/>
    <w:rsid w:val="008807DA"/>
    <w:rsid w:val="0088086F"/>
    <w:rsid w:val="008808DE"/>
    <w:rsid w:val="00880A05"/>
    <w:rsid w:val="00880D90"/>
    <w:rsid w:val="00880E2C"/>
    <w:rsid w:val="00880F17"/>
    <w:rsid w:val="00880FA0"/>
    <w:rsid w:val="00880FA7"/>
    <w:rsid w:val="00880FEA"/>
    <w:rsid w:val="008810E4"/>
    <w:rsid w:val="00881174"/>
    <w:rsid w:val="00881345"/>
    <w:rsid w:val="008813CC"/>
    <w:rsid w:val="008816B5"/>
    <w:rsid w:val="0088177C"/>
    <w:rsid w:val="008819B9"/>
    <w:rsid w:val="00881ADD"/>
    <w:rsid w:val="00881D25"/>
    <w:rsid w:val="00881E0E"/>
    <w:rsid w:val="00881EC1"/>
    <w:rsid w:val="00881EC7"/>
    <w:rsid w:val="00881F2D"/>
    <w:rsid w:val="008822A6"/>
    <w:rsid w:val="008822BA"/>
    <w:rsid w:val="008824D1"/>
    <w:rsid w:val="00882623"/>
    <w:rsid w:val="008829FF"/>
    <w:rsid w:val="00882AFF"/>
    <w:rsid w:val="008837AD"/>
    <w:rsid w:val="008839E0"/>
    <w:rsid w:val="00884007"/>
    <w:rsid w:val="0088420B"/>
    <w:rsid w:val="0088437C"/>
    <w:rsid w:val="0088439F"/>
    <w:rsid w:val="008844AA"/>
    <w:rsid w:val="008844C4"/>
    <w:rsid w:val="008845E4"/>
    <w:rsid w:val="00884695"/>
    <w:rsid w:val="008848E9"/>
    <w:rsid w:val="00884B6A"/>
    <w:rsid w:val="00884CF8"/>
    <w:rsid w:val="00884D0A"/>
    <w:rsid w:val="00884F82"/>
    <w:rsid w:val="00885155"/>
    <w:rsid w:val="008851EE"/>
    <w:rsid w:val="008852E8"/>
    <w:rsid w:val="0088530A"/>
    <w:rsid w:val="0088530F"/>
    <w:rsid w:val="008855A8"/>
    <w:rsid w:val="0088563D"/>
    <w:rsid w:val="00885675"/>
    <w:rsid w:val="00885976"/>
    <w:rsid w:val="008859F7"/>
    <w:rsid w:val="00885C65"/>
    <w:rsid w:val="00885CAC"/>
    <w:rsid w:val="00885D8A"/>
    <w:rsid w:val="00885DD4"/>
    <w:rsid w:val="00886162"/>
    <w:rsid w:val="008861DA"/>
    <w:rsid w:val="00886282"/>
    <w:rsid w:val="00886322"/>
    <w:rsid w:val="008865EB"/>
    <w:rsid w:val="00886943"/>
    <w:rsid w:val="00886E85"/>
    <w:rsid w:val="00886E88"/>
    <w:rsid w:val="00886FB8"/>
    <w:rsid w:val="00887085"/>
    <w:rsid w:val="00887325"/>
    <w:rsid w:val="008878F3"/>
    <w:rsid w:val="0088791C"/>
    <w:rsid w:val="00887999"/>
    <w:rsid w:val="00887B83"/>
    <w:rsid w:val="00887EC7"/>
    <w:rsid w:val="00887ECB"/>
    <w:rsid w:val="00887ED5"/>
    <w:rsid w:val="00890069"/>
    <w:rsid w:val="0089052F"/>
    <w:rsid w:val="0089082D"/>
    <w:rsid w:val="0089102B"/>
    <w:rsid w:val="008910F4"/>
    <w:rsid w:val="00891518"/>
    <w:rsid w:val="008916E4"/>
    <w:rsid w:val="00891705"/>
    <w:rsid w:val="00891777"/>
    <w:rsid w:val="00891863"/>
    <w:rsid w:val="00891882"/>
    <w:rsid w:val="008918A2"/>
    <w:rsid w:val="00891990"/>
    <w:rsid w:val="00891C53"/>
    <w:rsid w:val="00891E7C"/>
    <w:rsid w:val="00891F6B"/>
    <w:rsid w:val="0089227E"/>
    <w:rsid w:val="008923BC"/>
    <w:rsid w:val="008923C7"/>
    <w:rsid w:val="008924A6"/>
    <w:rsid w:val="008926AE"/>
    <w:rsid w:val="00892E98"/>
    <w:rsid w:val="00892FAE"/>
    <w:rsid w:val="0089303B"/>
    <w:rsid w:val="008930E3"/>
    <w:rsid w:val="008931A9"/>
    <w:rsid w:val="0089336A"/>
    <w:rsid w:val="00893583"/>
    <w:rsid w:val="00893713"/>
    <w:rsid w:val="00893AEC"/>
    <w:rsid w:val="00893FD2"/>
    <w:rsid w:val="0089431A"/>
    <w:rsid w:val="00894370"/>
    <w:rsid w:val="0089437F"/>
    <w:rsid w:val="00894484"/>
    <w:rsid w:val="008945F3"/>
    <w:rsid w:val="00894753"/>
    <w:rsid w:val="0089478D"/>
    <w:rsid w:val="008947D7"/>
    <w:rsid w:val="00894C93"/>
    <w:rsid w:val="00894CAB"/>
    <w:rsid w:val="00894E69"/>
    <w:rsid w:val="00895071"/>
    <w:rsid w:val="008950B1"/>
    <w:rsid w:val="008953EB"/>
    <w:rsid w:val="0089561D"/>
    <w:rsid w:val="00895CEE"/>
    <w:rsid w:val="00896020"/>
    <w:rsid w:val="00896052"/>
    <w:rsid w:val="008961C1"/>
    <w:rsid w:val="00896229"/>
    <w:rsid w:val="008966A6"/>
    <w:rsid w:val="0089675A"/>
    <w:rsid w:val="008967B8"/>
    <w:rsid w:val="00896803"/>
    <w:rsid w:val="00896961"/>
    <w:rsid w:val="00896B79"/>
    <w:rsid w:val="00896DB6"/>
    <w:rsid w:val="00896DD5"/>
    <w:rsid w:val="00896F80"/>
    <w:rsid w:val="0089712E"/>
    <w:rsid w:val="008971E7"/>
    <w:rsid w:val="008972E5"/>
    <w:rsid w:val="00897C05"/>
    <w:rsid w:val="00897ED5"/>
    <w:rsid w:val="008A01B1"/>
    <w:rsid w:val="008A0605"/>
    <w:rsid w:val="008A0767"/>
    <w:rsid w:val="008A09E8"/>
    <w:rsid w:val="008A0BF5"/>
    <w:rsid w:val="008A0E35"/>
    <w:rsid w:val="008A12F4"/>
    <w:rsid w:val="008A1384"/>
    <w:rsid w:val="008A1435"/>
    <w:rsid w:val="008A14BF"/>
    <w:rsid w:val="008A1538"/>
    <w:rsid w:val="008A1569"/>
    <w:rsid w:val="008A1668"/>
    <w:rsid w:val="008A1746"/>
    <w:rsid w:val="008A1854"/>
    <w:rsid w:val="008A18B0"/>
    <w:rsid w:val="008A1A6E"/>
    <w:rsid w:val="008A1BC3"/>
    <w:rsid w:val="008A1BCA"/>
    <w:rsid w:val="008A1E7E"/>
    <w:rsid w:val="008A1F58"/>
    <w:rsid w:val="008A2740"/>
    <w:rsid w:val="008A2A82"/>
    <w:rsid w:val="008A2B66"/>
    <w:rsid w:val="008A2B8D"/>
    <w:rsid w:val="008A3666"/>
    <w:rsid w:val="008A38A9"/>
    <w:rsid w:val="008A3A23"/>
    <w:rsid w:val="008A3CF5"/>
    <w:rsid w:val="008A3E9A"/>
    <w:rsid w:val="008A4168"/>
    <w:rsid w:val="008A43AC"/>
    <w:rsid w:val="008A454A"/>
    <w:rsid w:val="008A47D4"/>
    <w:rsid w:val="008A48B1"/>
    <w:rsid w:val="008A4959"/>
    <w:rsid w:val="008A4A17"/>
    <w:rsid w:val="008A4B4D"/>
    <w:rsid w:val="008A5014"/>
    <w:rsid w:val="008A5253"/>
    <w:rsid w:val="008A541A"/>
    <w:rsid w:val="008A547C"/>
    <w:rsid w:val="008A5496"/>
    <w:rsid w:val="008A54D4"/>
    <w:rsid w:val="008A569E"/>
    <w:rsid w:val="008A5760"/>
    <w:rsid w:val="008A589A"/>
    <w:rsid w:val="008A5C0C"/>
    <w:rsid w:val="008A5F51"/>
    <w:rsid w:val="008A61D1"/>
    <w:rsid w:val="008A61FD"/>
    <w:rsid w:val="008A6296"/>
    <w:rsid w:val="008A66CC"/>
    <w:rsid w:val="008A698A"/>
    <w:rsid w:val="008A69C8"/>
    <w:rsid w:val="008A6A72"/>
    <w:rsid w:val="008A6E3A"/>
    <w:rsid w:val="008A6E6E"/>
    <w:rsid w:val="008A708E"/>
    <w:rsid w:val="008A736F"/>
    <w:rsid w:val="008A7690"/>
    <w:rsid w:val="008A7A93"/>
    <w:rsid w:val="008A7B4D"/>
    <w:rsid w:val="008A7DCB"/>
    <w:rsid w:val="008A7EE7"/>
    <w:rsid w:val="008A7EFE"/>
    <w:rsid w:val="008B03F8"/>
    <w:rsid w:val="008B046F"/>
    <w:rsid w:val="008B0908"/>
    <w:rsid w:val="008B0B46"/>
    <w:rsid w:val="008B0E0E"/>
    <w:rsid w:val="008B0E86"/>
    <w:rsid w:val="008B12C4"/>
    <w:rsid w:val="008B15DF"/>
    <w:rsid w:val="008B164C"/>
    <w:rsid w:val="008B1901"/>
    <w:rsid w:val="008B1A90"/>
    <w:rsid w:val="008B203E"/>
    <w:rsid w:val="008B2494"/>
    <w:rsid w:val="008B258F"/>
    <w:rsid w:val="008B25DA"/>
    <w:rsid w:val="008B2705"/>
    <w:rsid w:val="008B279C"/>
    <w:rsid w:val="008B2A4B"/>
    <w:rsid w:val="008B2D92"/>
    <w:rsid w:val="008B2ECE"/>
    <w:rsid w:val="008B30B7"/>
    <w:rsid w:val="008B30CE"/>
    <w:rsid w:val="008B3210"/>
    <w:rsid w:val="008B3325"/>
    <w:rsid w:val="008B36AB"/>
    <w:rsid w:val="008B36FE"/>
    <w:rsid w:val="008B3766"/>
    <w:rsid w:val="008B3772"/>
    <w:rsid w:val="008B3A36"/>
    <w:rsid w:val="008B3EDB"/>
    <w:rsid w:val="008B3F41"/>
    <w:rsid w:val="008B3FE6"/>
    <w:rsid w:val="008B42C2"/>
    <w:rsid w:val="008B46A1"/>
    <w:rsid w:val="008B4854"/>
    <w:rsid w:val="008B490B"/>
    <w:rsid w:val="008B4950"/>
    <w:rsid w:val="008B4AD7"/>
    <w:rsid w:val="008B4C4E"/>
    <w:rsid w:val="008B4D4E"/>
    <w:rsid w:val="008B4DB2"/>
    <w:rsid w:val="008B4DBD"/>
    <w:rsid w:val="008B4EAF"/>
    <w:rsid w:val="008B5477"/>
    <w:rsid w:val="008B54E0"/>
    <w:rsid w:val="008B55C8"/>
    <w:rsid w:val="008B560B"/>
    <w:rsid w:val="008B5614"/>
    <w:rsid w:val="008B5713"/>
    <w:rsid w:val="008B5AF1"/>
    <w:rsid w:val="008B5C3A"/>
    <w:rsid w:val="008B5E99"/>
    <w:rsid w:val="008B623B"/>
    <w:rsid w:val="008B6528"/>
    <w:rsid w:val="008B6623"/>
    <w:rsid w:val="008B662D"/>
    <w:rsid w:val="008B66EE"/>
    <w:rsid w:val="008B678A"/>
    <w:rsid w:val="008B6AF1"/>
    <w:rsid w:val="008B6D6D"/>
    <w:rsid w:val="008B6F56"/>
    <w:rsid w:val="008B6F88"/>
    <w:rsid w:val="008B70BE"/>
    <w:rsid w:val="008B725B"/>
    <w:rsid w:val="008B76EC"/>
    <w:rsid w:val="008B7883"/>
    <w:rsid w:val="008B7B39"/>
    <w:rsid w:val="008C005B"/>
    <w:rsid w:val="008C0530"/>
    <w:rsid w:val="008C05A4"/>
    <w:rsid w:val="008C0621"/>
    <w:rsid w:val="008C06A2"/>
    <w:rsid w:val="008C07D8"/>
    <w:rsid w:val="008C0924"/>
    <w:rsid w:val="008C0990"/>
    <w:rsid w:val="008C0A12"/>
    <w:rsid w:val="008C0BD9"/>
    <w:rsid w:val="008C0C56"/>
    <w:rsid w:val="008C0C68"/>
    <w:rsid w:val="008C0CEE"/>
    <w:rsid w:val="008C0DF1"/>
    <w:rsid w:val="008C105C"/>
    <w:rsid w:val="008C1141"/>
    <w:rsid w:val="008C1155"/>
    <w:rsid w:val="008C13EC"/>
    <w:rsid w:val="008C1496"/>
    <w:rsid w:val="008C14F6"/>
    <w:rsid w:val="008C1872"/>
    <w:rsid w:val="008C18E2"/>
    <w:rsid w:val="008C1A0B"/>
    <w:rsid w:val="008C1C4A"/>
    <w:rsid w:val="008C1C6E"/>
    <w:rsid w:val="008C1CDC"/>
    <w:rsid w:val="008C231C"/>
    <w:rsid w:val="008C2398"/>
    <w:rsid w:val="008C268D"/>
    <w:rsid w:val="008C27BA"/>
    <w:rsid w:val="008C2C49"/>
    <w:rsid w:val="008C2C6A"/>
    <w:rsid w:val="008C2CAF"/>
    <w:rsid w:val="008C2DA3"/>
    <w:rsid w:val="008C2EC5"/>
    <w:rsid w:val="008C2ED6"/>
    <w:rsid w:val="008C301E"/>
    <w:rsid w:val="008C311B"/>
    <w:rsid w:val="008C35D6"/>
    <w:rsid w:val="008C3708"/>
    <w:rsid w:val="008C3848"/>
    <w:rsid w:val="008C38B1"/>
    <w:rsid w:val="008C3B96"/>
    <w:rsid w:val="008C3C6A"/>
    <w:rsid w:val="008C3CAF"/>
    <w:rsid w:val="008C3DD8"/>
    <w:rsid w:val="008C3E23"/>
    <w:rsid w:val="008C3F32"/>
    <w:rsid w:val="008C402B"/>
    <w:rsid w:val="008C44D0"/>
    <w:rsid w:val="008C4599"/>
    <w:rsid w:val="008C464D"/>
    <w:rsid w:val="008C4770"/>
    <w:rsid w:val="008C485B"/>
    <w:rsid w:val="008C4930"/>
    <w:rsid w:val="008C49CD"/>
    <w:rsid w:val="008C49DB"/>
    <w:rsid w:val="008C4A17"/>
    <w:rsid w:val="008C4C25"/>
    <w:rsid w:val="008C4D77"/>
    <w:rsid w:val="008C51B7"/>
    <w:rsid w:val="008C54A8"/>
    <w:rsid w:val="008C55C2"/>
    <w:rsid w:val="008C573C"/>
    <w:rsid w:val="008C5804"/>
    <w:rsid w:val="008C5880"/>
    <w:rsid w:val="008C5901"/>
    <w:rsid w:val="008C59E7"/>
    <w:rsid w:val="008C5A2E"/>
    <w:rsid w:val="008C5D78"/>
    <w:rsid w:val="008C5FB1"/>
    <w:rsid w:val="008C682D"/>
    <w:rsid w:val="008C6AF7"/>
    <w:rsid w:val="008C6D4B"/>
    <w:rsid w:val="008C6E9E"/>
    <w:rsid w:val="008C6F27"/>
    <w:rsid w:val="008C784E"/>
    <w:rsid w:val="008C7AFE"/>
    <w:rsid w:val="008C7F3B"/>
    <w:rsid w:val="008D0044"/>
    <w:rsid w:val="008D0303"/>
    <w:rsid w:val="008D0558"/>
    <w:rsid w:val="008D0645"/>
    <w:rsid w:val="008D0926"/>
    <w:rsid w:val="008D0CC0"/>
    <w:rsid w:val="008D0EFD"/>
    <w:rsid w:val="008D0F6F"/>
    <w:rsid w:val="008D1043"/>
    <w:rsid w:val="008D1063"/>
    <w:rsid w:val="008D1065"/>
    <w:rsid w:val="008D11D3"/>
    <w:rsid w:val="008D13EF"/>
    <w:rsid w:val="008D14D7"/>
    <w:rsid w:val="008D15B1"/>
    <w:rsid w:val="008D1B09"/>
    <w:rsid w:val="008D1B68"/>
    <w:rsid w:val="008D1CD6"/>
    <w:rsid w:val="008D1D42"/>
    <w:rsid w:val="008D1DD2"/>
    <w:rsid w:val="008D1E08"/>
    <w:rsid w:val="008D1F0C"/>
    <w:rsid w:val="008D25FF"/>
    <w:rsid w:val="008D2A1A"/>
    <w:rsid w:val="008D2C07"/>
    <w:rsid w:val="008D2D50"/>
    <w:rsid w:val="008D2E30"/>
    <w:rsid w:val="008D2F17"/>
    <w:rsid w:val="008D2F21"/>
    <w:rsid w:val="008D2F60"/>
    <w:rsid w:val="008D3232"/>
    <w:rsid w:val="008D32A1"/>
    <w:rsid w:val="008D37F3"/>
    <w:rsid w:val="008D3947"/>
    <w:rsid w:val="008D3A3D"/>
    <w:rsid w:val="008D3A91"/>
    <w:rsid w:val="008D3C75"/>
    <w:rsid w:val="008D3E55"/>
    <w:rsid w:val="008D419E"/>
    <w:rsid w:val="008D42D7"/>
    <w:rsid w:val="008D43B6"/>
    <w:rsid w:val="008D45CA"/>
    <w:rsid w:val="008D4CAA"/>
    <w:rsid w:val="008D4CD4"/>
    <w:rsid w:val="008D4FF4"/>
    <w:rsid w:val="008D50B6"/>
    <w:rsid w:val="008D525E"/>
    <w:rsid w:val="008D5308"/>
    <w:rsid w:val="008D54C9"/>
    <w:rsid w:val="008D578C"/>
    <w:rsid w:val="008D587F"/>
    <w:rsid w:val="008D5B5B"/>
    <w:rsid w:val="008D5E4F"/>
    <w:rsid w:val="008D5F74"/>
    <w:rsid w:val="008D61D1"/>
    <w:rsid w:val="008D6274"/>
    <w:rsid w:val="008D629D"/>
    <w:rsid w:val="008D62F0"/>
    <w:rsid w:val="008D62FA"/>
    <w:rsid w:val="008D63F5"/>
    <w:rsid w:val="008D6485"/>
    <w:rsid w:val="008D64A3"/>
    <w:rsid w:val="008D6510"/>
    <w:rsid w:val="008D6617"/>
    <w:rsid w:val="008D6647"/>
    <w:rsid w:val="008D6B5E"/>
    <w:rsid w:val="008D6C9C"/>
    <w:rsid w:val="008D7039"/>
    <w:rsid w:val="008D71A2"/>
    <w:rsid w:val="008D7382"/>
    <w:rsid w:val="008D7442"/>
    <w:rsid w:val="008D769D"/>
    <w:rsid w:val="008D76F1"/>
    <w:rsid w:val="008D7852"/>
    <w:rsid w:val="008D7918"/>
    <w:rsid w:val="008D79A3"/>
    <w:rsid w:val="008D7A3B"/>
    <w:rsid w:val="008D7E5D"/>
    <w:rsid w:val="008D7EBA"/>
    <w:rsid w:val="008E0044"/>
    <w:rsid w:val="008E0180"/>
    <w:rsid w:val="008E0184"/>
    <w:rsid w:val="008E0763"/>
    <w:rsid w:val="008E0C64"/>
    <w:rsid w:val="008E0D62"/>
    <w:rsid w:val="008E0D9E"/>
    <w:rsid w:val="008E0E74"/>
    <w:rsid w:val="008E0EC9"/>
    <w:rsid w:val="008E0F2A"/>
    <w:rsid w:val="008E0F30"/>
    <w:rsid w:val="008E0F58"/>
    <w:rsid w:val="008E0F97"/>
    <w:rsid w:val="008E104D"/>
    <w:rsid w:val="008E1293"/>
    <w:rsid w:val="008E1472"/>
    <w:rsid w:val="008E15B3"/>
    <w:rsid w:val="008E1EFC"/>
    <w:rsid w:val="008E1FD7"/>
    <w:rsid w:val="008E2204"/>
    <w:rsid w:val="008E22A7"/>
    <w:rsid w:val="008E2560"/>
    <w:rsid w:val="008E25A7"/>
    <w:rsid w:val="008E298B"/>
    <w:rsid w:val="008E2A09"/>
    <w:rsid w:val="008E2DAB"/>
    <w:rsid w:val="008E2EA9"/>
    <w:rsid w:val="008E3085"/>
    <w:rsid w:val="008E3342"/>
    <w:rsid w:val="008E3372"/>
    <w:rsid w:val="008E365C"/>
    <w:rsid w:val="008E387E"/>
    <w:rsid w:val="008E3998"/>
    <w:rsid w:val="008E39A7"/>
    <w:rsid w:val="008E3B07"/>
    <w:rsid w:val="008E3C59"/>
    <w:rsid w:val="008E3D19"/>
    <w:rsid w:val="008E3EFB"/>
    <w:rsid w:val="008E4093"/>
    <w:rsid w:val="008E42A6"/>
    <w:rsid w:val="008E44C3"/>
    <w:rsid w:val="008E4731"/>
    <w:rsid w:val="008E477B"/>
    <w:rsid w:val="008E4843"/>
    <w:rsid w:val="008E49EF"/>
    <w:rsid w:val="008E4BAF"/>
    <w:rsid w:val="008E4C5B"/>
    <w:rsid w:val="008E5110"/>
    <w:rsid w:val="008E51EB"/>
    <w:rsid w:val="008E5249"/>
    <w:rsid w:val="008E54C0"/>
    <w:rsid w:val="008E552E"/>
    <w:rsid w:val="008E5738"/>
    <w:rsid w:val="008E586C"/>
    <w:rsid w:val="008E5BDD"/>
    <w:rsid w:val="008E5CE7"/>
    <w:rsid w:val="008E5E73"/>
    <w:rsid w:val="008E612F"/>
    <w:rsid w:val="008E631B"/>
    <w:rsid w:val="008E6625"/>
    <w:rsid w:val="008E6636"/>
    <w:rsid w:val="008E68E4"/>
    <w:rsid w:val="008E6CE3"/>
    <w:rsid w:val="008E6DD1"/>
    <w:rsid w:val="008E6EB4"/>
    <w:rsid w:val="008E6F13"/>
    <w:rsid w:val="008E70F8"/>
    <w:rsid w:val="008E714E"/>
    <w:rsid w:val="008E74CE"/>
    <w:rsid w:val="008E7593"/>
    <w:rsid w:val="008E7603"/>
    <w:rsid w:val="008E790E"/>
    <w:rsid w:val="008E79FC"/>
    <w:rsid w:val="008E7B65"/>
    <w:rsid w:val="008E7C62"/>
    <w:rsid w:val="008E7D5F"/>
    <w:rsid w:val="008E7F3F"/>
    <w:rsid w:val="008F028C"/>
    <w:rsid w:val="008F0356"/>
    <w:rsid w:val="008F0364"/>
    <w:rsid w:val="008F056C"/>
    <w:rsid w:val="008F065E"/>
    <w:rsid w:val="008F06C7"/>
    <w:rsid w:val="008F085B"/>
    <w:rsid w:val="008F111F"/>
    <w:rsid w:val="008F11E9"/>
    <w:rsid w:val="008F135D"/>
    <w:rsid w:val="008F17AD"/>
    <w:rsid w:val="008F17E7"/>
    <w:rsid w:val="008F19A1"/>
    <w:rsid w:val="008F2112"/>
    <w:rsid w:val="008F2136"/>
    <w:rsid w:val="008F215B"/>
    <w:rsid w:val="008F22A5"/>
    <w:rsid w:val="008F22FA"/>
    <w:rsid w:val="008F232C"/>
    <w:rsid w:val="008F23A8"/>
    <w:rsid w:val="008F2450"/>
    <w:rsid w:val="008F2485"/>
    <w:rsid w:val="008F24CD"/>
    <w:rsid w:val="008F263F"/>
    <w:rsid w:val="008F26FA"/>
    <w:rsid w:val="008F2814"/>
    <w:rsid w:val="008F299C"/>
    <w:rsid w:val="008F2F67"/>
    <w:rsid w:val="008F33AA"/>
    <w:rsid w:val="008F33D9"/>
    <w:rsid w:val="008F36BB"/>
    <w:rsid w:val="008F3735"/>
    <w:rsid w:val="008F3A7D"/>
    <w:rsid w:val="008F3D0D"/>
    <w:rsid w:val="008F3D2E"/>
    <w:rsid w:val="008F4141"/>
    <w:rsid w:val="008F4252"/>
    <w:rsid w:val="008F4392"/>
    <w:rsid w:val="008F452D"/>
    <w:rsid w:val="008F45B2"/>
    <w:rsid w:val="008F4656"/>
    <w:rsid w:val="008F4670"/>
    <w:rsid w:val="008F47C6"/>
    <w:rsid w:val="008F48B2"/>
    <w:rsid w:val="008F4921"/>
    <w:rsid w:val="008F4B15"/>
    <w:rsid w:val="008F4B4C"/>
    <w:rsid w:val="008F4E92"/>
    <w:rsid w:val="008F50FC"/>
    <w:rsid w:val="008F537A"/>
    <w:rsid w:val="008F540E"/>
    <w:rsid w:val="008F5530"/>
    <w:rsid w:val="008F55DD"/>
    <w:rsid w:val="008F5A5C"/>
    <w:rsid w:val="008F5AD6"/>
    <w:rsid w:val="008F5D29"/>
    <w:rsid w:val="008F5DFB"/>
    <w:rsid w:val="008F5E65"/>
    <w:rsid w:val="008F5FE0"/>
    <w:rsid w:val="008F5FFF"/>
    <w:rsid w:val="008F6091"/>
    <w:rsid w:val="008F6412"/>
    <w:rsid w:val="008F653E"/>
    <w:rsid w:val="008F654B"/>
    <w:rsid w:val="008F665F"/>
    <w:rsid w:val="008F690A"/>
    <w:rsid w:val="008F69BB"/>
    <w:rsid w:val="008F6BC8"/>
    <w:rsid w:val="008F6D2E"/>
    <w:rsid w:val="008F6DF3"/>
    <w:rsid w:val="008F6E23"/>
    <w:rsid w:val="008F6EA3"/>
    <w:rsid w:val="008F6EED"/>
    <w:rsid w:val="008F7122"/>
    <w:rsid w:val="008F720C"/>
    <w:rsid w:val="008F7265"/>
    <w:rsid w:val="008F7291"/>
    <w:rsid w:val="008F757F"/>
    <w:rsid w:val="008F76BA"/>
    <w:rsid w:val="008F7756"/>
    <w:rsid w:val="008F7A0A"/>
    <w:rsid w:val="008F7B1F"/>
    <w:rsid w:val="008F7CD1"/>
    <w:rsid w:val="008F7DF2"/>
    <w:rsid w:val="008F7F01"/>
    <w:rsid w:val="00900207"/>
    <w:rsid w:val="009007C1"/>
    <w:rsid w:val="00900EBF"/>
    <w:rsid w:val="00900F04"/>
    <w:rsid w:val="00901152"/>
    <w:rsid w:val="0090153B"/>
    <w:rsid w:val="0090176D"/>
    <w:rsid w:val="009018C0"/>
    <w:rsid w:val="00901D6B"/>
    <w:rsid w:val="00902061"/>
    <w:rsid w:val="009020A7"/>
    <w:rsid w:val="009024C1"/>
    <w:rsid w:val="00902509"/>
    <w:rsid w:val="009026C2"/>
    <w:rsid w:val="009026C9"/>
    <w:rsid w:val="00902717"/>
    <w:rsid w:val="00902786"/>
    <w:rsid w:val="00902837"/>
    <w:rsid w:val="00902AD7"/>
    <w:rsid w:val="00902D4E"/>
    <w:rsid w:val="00902F05"/>
    <w:rsid w:val="0090356E"/>
    <w:rsid w:val="0090372F"/>
    <w:rsid w:val="00903B2E"/>
    <w:rsid w:val="00903D33"/>
    <w:rsid w:val="00903D5E"/>
    <w:rsid w:val="00903FEE"/>
    <w:rsid w:val="00904022"/>
    <w:rsid w:val="009041EA"/>
    <w:rsid w:val="00904235"/>
    <w:rsid w:val="0090443C"/>
    <w:rsid w:val="0090444A"/>
    <w:rsid w:val="00904471"/>
    <w:rsid w:val="0090463E"/>
    <w:rsid w:val="009046E1"/>
    <w:rsid w:val="00904772"/>
    <w:rsid w:val="009048F7"/>
    <w:rsid w:val="00904C89"/>
    <w:rsid w:val="00904D15"/>
    <w:rsid w:val="00904D9C"/>
    <w:rsid w:val="00904E51"/>
    <w:rsid w:val="00905074"/>
    <w:rsid w:val="009050A6"/>
    <w:rsid w:val="0090540D"/>
    <w:rsid w:val="00905976"/>
    <w:rsid w:val="009059B7"/>
    <w:rsid w:val="00905A98"/>
    <w:rsid w:val="00905CD4"/>
    <w:rsid w:val="00905F47"/>
    <w:rsid w:val="00905F66"/>
    <w:rsid w:val="0090607B"/>
    <w:rsid w:val="009060F4"/>
    <w:rsid w:val="009064A6"/>
    <w:rsid w:val="0090665A"/>
    <w:rsid w:val="009067F3"/>
    <w:rsid w:val="0090688E"/>
    <w:rsid w:val="00906D23"/>
    <w:rsid w:val="00906E7E"/>
    <w:rsid w:val="009071A3"/>
    <w:rsid w:val="00907226"/>
    <w:rsid w:val="00907300"/>
    <w:rsid w:val="009075F9"/>
    <w:rsid w:val="00907925"/>
    <w:rsid w:val="00907C9E"/>
    <w:rsid w:val="00907CCF"/>
    <w:rsid w:val="00907FE9"/>
    <w:rsid w:val="00910379"/>
    <w:rsid w:val="009103EE"/>
    <w:rsid w:val="009106EE"/>
    <w:rsid w:val="0091098C"/>
    <w:rsid w:val="00911744"/>
    <w:rsid w:val="00911788"/>
    <w:rsid w:val="00911867"/>
    <w:rsid w:val="009118B5"/>
    <w:rsid w:val="00911B01"/>
    <w:rsid w:val="00911C75"/>
    <w:rsid w:val="00911CB8"/>
    <w:rsid w:val="00911D38"/>
    <w:rsid w:val="0091224D"/>
    <w:rsid w:val="0091234E"/>
    <w:rsid w:val="009127A7"/>
    <w:rsid w:val="009128D0"/>
    <w:rsid w:val="00912A05"/>
    <w:rsid w:val="00912A2E"/>
    <w:rsid w:val="00912E26"/>
    <w:rsid w:val="00913092"/>
    <w:rsid w:val="009134AD"/>
    <w:rsid w:val="0091395C"/>
    <w:rsid w:val="00913B8F"/>
    <w:rsid w:val="00913DAB"/>
    <w:rsid w:val="0091433B"/>
    <w:rsid w:val="009146AD"/>
    <w:rsid w:val="009147FC"/>
    <w:rsid w:val="00914819"/>
    <w:rsid w:val="00915071"/>
    <w:rsid w:val="00915116"/>
    <w:rsid w:val="00915255"/>
    <w:rsid w:val="009156D9"/>
    <w:rsid w:val="009157E1"/>
    <w:rsid w:val="009158B2"/>
    <w:rsid w:val="00915912"/>
    <w:rsid w:val="00915994"/>
    <w:rsid w:val="00915A2D"/>
    <w:rsid w:val="00915A38"/>
    <w:rsid w:val="00915D7A"/>
    <w:rsid w:val="00915DE5"/>
    <w:rsid w:val="009163BF"/>
    <w:rsid w:val="00916799"/>
    <w:rsid w:val="00916B45"/>
    <w:rsid w:val="00916E19"/>
    <w:rsid w:val="00917359"/>
    <w:rsid w:val="009173DB"/>
    <w:rsid w:val="00917427"/>
    <w:rsid w:val="009178BC"/>
    <w:rsid w:val="00917B79"/>
    <w:rsid w:val="00917B99"/>
    <w:rsid w:val="00920414"/>
    <w:rsid w:val="00920493"/>
    <w:rsid w:val="0092054B"/>
    <w:rsid w:val="00920841"/>
    <w:rsid w:val="009208CD"/>
    <w:rsid w:val="00920A41"/>
    <w:rsid w:val="00920ADF"/>
    <w:rsid w:val="00920F22"/>
    <w:rsid w:val="00920FAC"/>
    <w:rsid w:val="00921011"/>
    <w:rsid w:val="00921134"/>
    <w:rsid w:val="00921150"/>
    <w:rsid w:val="009211CE"/>
    <w:rsid w:val="0092125B"/>
    <w:rsid w:val="00921850"/>
    <w:rsid w:val="00921AD3"/>
    <w:rsid w:val="00921BB8"/>
    <w:rsid w:val="00921C94"/>
    <w:rsid w:val="00921D34"/>
    <w:rsid w:val="00921DF5"/>
    <w:rsid w:val="009220FB"/>
    <w:rsid w:val="00922446"/>
    <w:rsid w:val="009224A1"/>
    <w:rsid w:val="009225E7"/>
    <w:rsid w:val="0092267C"/>
    <w:rsid w:val="00922751"/>
    <w:rsid w:val="0092287A"/>
    <w:rsid w:val="0092288C"/>
    <w:rsid w:val="00922A10"/>
    <w:rsid w:val="00922BDC"/>
    <w:rsid w:val="00922C63"/>
    <w:rsid w:val="0092310C"/>
    <w:rsid w:val="00923279"/>
    <w:rsid w:val="0092329B"/>
    <w:rsid w:val="009234BE"/>
    <w:rsid w:val="00923664"/>
    <w:rsid w:val="0092375E"/>
    <w:rsid w:val="009237B4"/>
    <w:rsid w:val="00923AA4"/>
    <w:rsid w:val="00923DE3"/>
    <w:rsid w:val="00923E83"/>
    <w:rsid w:val="00923F34"/>
    <w:rsid w:val="00924875"/>
    <w:rsid w:val="00924A92"/>
    <w:rsid w:val="00924A9D"/>
    <w:rsid w:val="00924C6A"/>
    <w:rsid w:val="00924F22"/>
    <w:rsid w:val="00925051"/>
    <w:rsid w:val="0092505E"/>
    <w:rsid w:val="0092508F"/>
    <w:rsid w:val="00925234"/>
    <w:rsid w:val="00925283"/>
    <w:rsid w:val="0092547B"/>
    <w:rsid w:val="0092578A"/>
    <w:rsid w:val="009257F0"/>
    <w:rsid w:val="00925858"/>
    <w:rsid w:val="009259BB"/>
    <w:rsid w:val="00925B78"/>
    <w:rsid w:val="00925C0C"/>
    <w:rsid w:val="009262A6"/>
    <w:rsid w:val="00926730"/>
    <w:rsid w:val="00926E65"/>
    <w:rsid w:val="00927000"/>
    <w:rsid w:val="0092709F"/>
    <w:rsid w:val="00927173"/>
    <w:rsid w:val="009271A6"/>
    <w:rsid w:val="009271D3"/>
    <w:rsid w:val="00927248"/>
    <w:rsid w:val="0092725F"/>
    <w:rsid w:val="0092759D"/>
    <w:rsid w:val="009277C0"/>
    <w:rsid w:val="00927DEA"/>
    <w:rsid w:val="00930257"/>
    <w:rsid w:val="009305E1"/>
    <w:rsid w:val="009306A1"/>
    <w:rsid w:val="00930789"/>
    <w:rsid w:val="009307D9"/>
    <w:rsid w:val="00930905"/>
    <w:rsid w:val="009309CE"/>
    <w:rsid w:val="00930B95"/>
    <w:rsid w:val="00930EB8"/>
    <w:rsid w:val="00931233"/>
    <w:rsid w:val="009312A3"/>
    <w:rsid w:val="009312B3"/>
    <w:rsid w:val="0093159C"/>
    <w:rsid w:val="00931995"/>
    <w:rsid w:val="009319AC"/>
    <w:rsid w:val="009319D5"/>
    <w:rsid w:val="00931A49"/>
    <w:rsid w:val="00931A54"/>
    <w:rsid w:val="00931BE3"/>
    <w:rsid w:val="00931D9C"/>
    <w:rsid w:val="00931F40"/>
    <w:rsid w:val="00931F5A"/>
    <w:rsid w:val="00931F94"/>
    <w:rsid w:val="0093254D"/>
    <w:rsid w:val="00932578"/>
    <w:rsid w:val="00932583"/>
    <w:rsid w:val="0093269A"/>
    <w:rsid w:val="00932B21"/>
    <w:rsid w:val="00932B6E"/>
    <w:rsid w:val="00932DFD"/>
    <w:rsid w:val="00932E02"/>
    <w:rsid w:val="00932EFA"/>
    <w:rsid w:val="00933044"/>
    <w:rsid w:val="009331F4"/>
    <w:rsid w:val="009335FF"/>
    <w:rsid w:val="0093384D"/>
    <w:rsid w:val="00933C5C"/>
    <w:rsid w:val="009340D2"/>
    <w:rsid w:val="0093410A"/>
    <w:rsid w:val="009345F7"/>
    <w:rsid w:val="00934868"/>
    <w:rsid w:val="009348F3"/>
    <w:rsid w:val="00934919"/>
    <w:rsid w:val="00934937"/>
    <w:rsid w:val="00934A5A"/>
    <w:rsid w:val="00934B78"/>
    <w:rsid w:val="00934C17"/>
    <w:rsid w:val="00934C1A"/>
    <w:rsid w:val="00934CB4"/>
    <w:rsid w:val="00934F75"/>
    <w:rsid w:val="009352CD"/>
    <w:rsid w:val="009353CE"/>
    <w:rsid w:val="009353E0"/>
    <w:rsid w:val="009353F9"/>
    <w:rsid w:val="0093541F"/>
    <w:rsid w:val="009354B2"/>
    <w:rsid w:val="0093565A"/>
    <w:rsid w:val="009356F8"/>
    <w:rsid w:val="00935770"/>
    <w:rsid w:val="00935926"/>
    <w:rsid w:val="00935A55"/>
    <w:rsid w:val="00935B43"/>
    <w:rsid w:val="00935C71"/>
    <w:rsid w:val="00935EE7"/>
    <w:rsid w:val="009360F5"/>
    <w:rsid w:val="00936178"/>
    <w:rsid w:val="009362AD"/>
    <w:rsid w:val="009364B2"/>
    <w:rsid w:val="009365C3"/>
    <w:rsid w:val="009369E4"/>
    <w:rsid w:val="00936A6B"/>
    <w:rsid w:val="00936C1F"/>
    <w:rsid w:val="00936C73"/>
    <w:rsid w:val="00936F40"/>
    <w:rsid w:val="00936F53"/>
    <w:rsid w:val="0093706B"/>
    <w:rsid w:val="00937499"/>
    <w:rsid w:val="009377ED"/>
    <w:rsid w:val="009379D5"/>
    <w:rsid w:val="009379EB"/>
    <w:rsid w:val="00937A29"/>
    <w:rsid w:val="00937AE0"/>
    <w:rsid w:val="00937E8B"/>
    <w:rsid w:val="00940191"/>
    <w:rsid w:val="0094028F"/>
    <w:rsid w:val="009402A6"/>
    <w:rsid w:val="009402B1"/>
    <w:rsid w:val="00940405"/>
    <w:rsid w:val="00940472"/>
    <w:rsid w:val="00940679"/>
    <w:rsid w:val="0094067C"/>
    <w:rsid w:val="009408F4"/>
    <w:rsid w:val="00940A87"/>
    <w:rsid w:val="00940B3B"/>
    <w:rsid w:val="00940BA0"/>
    <w:rsid w:val="00940D9C"/>
    <w:rsid w:val="00940EA0"/>
    <w:rsid w:val="00940EB0"/>
    <w:rsid w:val="00941153"/>
    <w:rsid w:val="00941200"/>
    <w:rsid w:val="0094124B"/>
    <w:rsid w:val="009413D4"/>
    <w:rsid w:val="0094173A"/>
    <w:rsid w:val="0094197B"/>
    <w:rsid w:val="00941A3A"/>
    <w:rsid w:val="00941C7E"/>
    <w:rsid w:val="00941FC4"/>
    <w:rsid w:val="00941FFB"/>
    <w:rsid w:val="00942199"/>
    <w:rsid w:val="009421C8"/>
    <w:rsid w:val="009422F1"/>
    <w:rsid w:val="009424D5"/>
    <w:rsid w:val="009428E6"/>
    <w:rsid w:val="00942C98"/>
    <w:rsid w:val="00942EF3"/>
    <w:rsid w:val="00942F0A"/>
    <w:rsid w:val="00943316"/>
    <w:rsid w:val="009433F7"/>
    <w:rsid w:val="00943460"/>
    <w:rsid w:val="00943530"/>
    <w:rsid w:val="00943666"/>
    <w:rsid w:val="0094372F"/>
    <w:rsid w:val="009439FB"/>
    <w:rsid w:val="00943BDE"/>
    <w:rsid w:val="009444B9"/>
    <w:rsid w:val="0094457C"/>
    <w:rsid w:val="0094458B"/>
    <w:rsid w:val="009446F8"/>
    <w:rsid w:val="009449F0"/>
    <w:rsid w:val="009449F6"/>
    <w:rsid w:val="00944AE8"/>
    <w:rsid w:val="00944B48"/>
    <w:rsid w:val="00944BA2"/>
    <w:rsid w:val="00944C63"/>
    <w:rsid w:val="00944E22"/>
    <w:rsid w:val="009457BE"/>
    <w:rsid w:val="00945D79"/>
    <w:rsid w:val="00946189"/>
    <w:rsid w:val="0094685F"/>
    <w:rsid w:val="00946AAC"/>
    <w:rsid w:val="00946B48"/>
    <w:rsid w:val="00946F23"/>
    <w:rsid w:val="00946F65"/>
    <w:rsid w:val="0094711C"/>
    <w:rsid w:val="009475FD"/>
    <w:rsid w:val="00947ADF"/>
    <w:rsid w:val="00947B29"/>
    <w:rsid w:val="00950079"/>
    <w:rsid w:val="00950533"/>
    <w:rsid w:val="0095062E"/>
    <w:rsid w:val="00950701"/>
    <w:rsid w:val="00950AFD"/>
    <w:rsid w:val="00950CFA"/>
    <w:rsid w:val="0095135E"/>
    <w:rsid w:val="00951854"/>
    <w:rsid w:val="009518BB"/>
    <w:rsid w:val="00951AFF"/>
    <w:rsid w:val="00951C07"/>
    <w:rsid w:val="00951E00"/>
    <w:rsid w:val="009521C3"/>
    <w:rsid w:val="00952237"/>
    <w:rsid w:val="00952374"/>
    <w:rsid w:val="00952455"/>
    <w:rsid w:val="00952A58"/>
    <w:rsid w:val="00952AC7"/>
    <w:rsid w:val="00952F8B"/>
    <w:rsid w:val="009531D6"/>
    <w:rsid w:val="00953791"/>
    <w:rsid w:val="009537AC"/>
    <w:rsid w:val="00953D48"/>
    <w:rsid w:val="0095411E"/>
    <w:rsid w:val="00954120"/>
    <w:rsid w:val="009541B3"/>
    <w:rsid w:val="00954307"/>
    <w:rsid w:val="009544E1"/>
    <w:rsid w:val="0095476D"/>
    <w:rsid w:val="00954911"/>
    <w:rsid w:val="0095494B"/>
    <w:rsid w:val="0095499A"/>
    <w:rsid w:val="00955149"/>
    <w:rsid w:val="0095520B"/>
    <w:rsid w:val="00955229"/>
    <w:rsid w:val="009552FB"/>
    <w:rsid w:val="009553E7"/>
    <w:rsid w:val="00955411"/>
    <w:rsid w:val="00955432"/>
    <w:rsid w:val="00955742"/>
    <w:rsid w:val="0095576B"/>
    <w:rsid w:val="0095584E"/>
    <w:rsid w:val="00955983"/>
    <w:rsid w:val="00955985"/>
    <w:rsid w:val="0095598E"/>
    <w:rsid w:val="00955CB5"/>
    <w:rsid w:val="00955E60"/>
    <w:rsid w:val="00955FD0"/>
    <w:rsid w:val="0095608C"/>
    <w:rsid w:val="00956102"/>
    <w:rsid w:val="00956132"/>
    <w:rsid w:val="00956625"/>
    <w:rsid w:val="00956B97"/>
    <w:rsid w:val="00956BAE"/>
    <w:rsid w:val="00956D08"/>
    <w:rsid w:val="00956DF8"/>
    <w:rsid w:val="00956EC1"/>
    <w:rsid w:val="00956EFB"/>
    <w:rsid w:val="00957002"/>
    <w:rsid w:val="0095703C"/>
    <w:rsid w:val="0095748E"/>
    <w:rsid w:val="009574F4"/>
    <w:rsid w:val="00957AC7"/>
    <w:rsid w:val="00957C77"/>
    <w:rsid w:val="00957E23"/>
    <w:rsid w:val="00957F2D"/>
    <w:rsid w:val="0096013C"/>
    <w:rsid w:val="00960222"/>
    <w:rsid w:val="00960266"/>
    <w:rsid w:val="00960518"/>
    <w:rsid w:val="009605D9"/>
    <w:rsid w:val="009606A9"/>
    <w:rsid w:val="00960735"/>
    <w:rsid w:val="00960765"/>
    <w:rsid w:val="009608CA"/>
    <w:rsid w:val="009608F3"/>
    <w:rsid w:val="00960DB0"/>
    <w:rsid w:val="00960E73"/>
    <w:rsid w:val="009611AC"/>
    <w:rsid w:val="0096138C"/>
    <w:rsid w:val="00961534"/>
    <w:rsid w:val="009615BF"/>
    <w:rsid w:val="00961744"/>
    <w:rsid w:val="00961756"/>
    <w:rsid w:val="00961793"/>
    <w:rsid w:val="0096183A"/>
    <w:rsid w:val="0096183E"/>
    <w:rsid w:val="0096191D"/>
    <w:rsid w:val="00961A64"/>
    <w:rsid w:val="00961C83"/>
    <w:rsid w:val="00962042"/>
    <w:rsid w:val="009625BD"/>
    <w:rsid w:val="0096297B"/>
    <w:rsid w:val="00962A56"/>
    <w:rsid w:val="00962A60"/>
    <w:rsid w:val="00962BD7"/>
    <w:rsid w:val="00962CD1"/>
    <w:rsid w:val="00962D33"/>
    <w:rsid w:val="00962D9E"/>
    <w:rsid w:val="00962EE8"/>
    <w:rsid w:val="00962F9B"/>
    <w:rsid w:val="00963060"/>
    <w:rsid w:val="00963211"/>
    <w:rsid w:val="009632DB"/>
    <w:rsid w:val="0096330C"/>
    <w:rsid w:val="00963345"/>
    <w:rsid w:val="009633BD"/>
    <w:rsid w:val="0096351E"/>
    <w:rsid w:val="00963684"/>
    <w:rsid w:val="0096393E"/>
    <w:rsid w:val="00963D4C"/>
    <w:rsid w:val="00963E59"/>
    <w:rsid w:val="00963EAE"/>
    <w:rsid w:val="00963F11"/>
    <w:rsid w:val="00964114"/>
    <w:rsid w:val="00964187"/>
    <w:rsid w:val="009642DE"/>
    <w:rsid w:val="009643BC"/>
    <w:rsid w:val="009643D8"/>
    <w:rsid w:val="009645EE"/>
    <w:rsid w:val="00964686"/>
    <w:rsid w:val="009646C5"/>
    <w:rsid w:val="009648B8"/>
    <w:rsid w:val="009648DC"/>
    <w:rsid w:val="009649F3"/>
    <w:rsid w:val="00964E8B"/>
    <w:rsid w:val="00964FCA"/>
    <w:rsid w:val="00965210"/>
    <w:rsid w:val="00965506"/>
    <w:rsid w:val="0096552A"/>
    <w:rsid w:val="0096553F"/>
    <w:rsid w:val="009657C3"/>
    <w:rsid w:val="009657E0"/>
    <w:rsid w:val="00965A55"/>
    <w:rsid w:val="00965B30"/>
    <w:rsid w:val="00965B9B"/>
    <w:rsid w:val="009660DF"/>
    <w:rsid w:val="0096614E"/>
    <w:rsid w:val="00966387"/>
    <w:rsid w:val="00966471"/>
    <w:rsid w:val="009666A8"/>
    <w:rsid w:val="00966722"/>
    <w:rsid w:val="00966A71"/>
    <w:rsid w:val="00966AD6"/>
    <w:rsid w:val="00966DBA"/>
    <w:rsid w:val="00966E02"/>
    <w:rsid w:val="00966E13"/>
    <w:rsid w:val="00966E15"/>
    <w:rsid w:val="00966E23"/>
    <w:rsid w:val="00966E3D"/>
    <w:rsid w:val="00966E62"/>
    <w:rsid w:val="00966F49"/>
    <w:rsid w:val="00966FCA"/>
    <w:rsid w:val="00967085"/>
    <w:rsid w:val="0096720A"/>
    <w:rsid w:val="00967325"/>
    <w:rsid w:val="00967442"/>
    <w:rsid w:val="00967A26"/>
    <w:rsid w:val="00967AA8"/>
    <w:rsid w:val="00967D1D"/>
    <w:rsid w:val="00967DBF"/>
    <w:rsid w:val="00967DDE"/>
    <w:rsid w:val="00967E94"/>
    <w:rsid w:val="00967F45"/>
    <w:rsid w:val="00967FEC"/>
    <w:rsid w:val="00970654"/>
    <w:rsid w:val="009707F3"/>
    <w:rsid w:val="00970E79"/>
    <w:rsid w:val="00971161"/>
    <w:rsid w:val="00971278"/>
    <w:rsid w:val="00971416"/>
    <w:rsid w:val="00971436"/>
    <w:rsid w:val="0097170E"/>
    <w:rsid w:val="009717FD"/>
    <w:rsid w:val="00971853"/>
    <w:rsid w:val="009719C1"/>
    <w:rsid w:val="00971B1C"/>
    <w:rsid w:val="00971FA2"/>
    <w:rsid w:val="00972059"/>
    <w:rsid w:val="00972072"/>
    <w:rsid w:val="00972091"/>
    <w:rsid w:val="00972102"/>
    <w:rsid w:val="00972190"/>
    <w:rsid w:val="009723EC"/>
    <w:rsid w:val="0097249D"/>
    <w:rsid w:val="00972519"/>
    <w:rsid w:val="0097258F"/>
    <w:rsid w:val="009727D6"/>
    <w:rsid w:val="00972E29"/>
    <w:rsid w:val="00972E8C"/>
    <w:rsid w:val="00972EFE"/>
    <w:rsid w:val="00972F1F"/>
    <w:rsid w:val="00972FAC"/>
    <w:rsid w:val="00972FC6"/>
    <w:rsid w:val="00973199"/>
    <w:rsid w:val="0097367C"/>
    <w:rsid w:val="009739FA"/>
    <w:rsid w:val="00973A1A"/>
    <w:rsid w:val="00973DAD"/>
    <w:rsid w:val="0097450D"/>
    <w:rsid w:val="0097456B"/>
    <w:rsid w:val="00974613"/>
    <w:rsid w:val="009747C8"/>
    <w:rsid w:val="009748D8"/>
    <w:rsid w:val="00974967"/>
    <w:rsid w:val="00974B28"/>
    <w:rsid w:val="00974BA5"/>
    <w:rsid w:val="00974CA3"/>
    <w:rsid w:val="00974F3C"/>
    <w:rsid w:val="00974F4D"/>
    <w:rsid w:val="00974F94"/>
    <w:rsid w:val="00975095"/>
    <w:rsid w:val="009753BC"/>
    <w:rsid w:val="0097542A"/>
    <w:rsid w:val="00975451"/>
    <w:rsid w:val="009755BB"/>
    <w:rsid w:val="009756D9"/>
    <w:rsid w:val="00975A27"/>
    <w:rsid w:val="00975CAA"/>
    <w:rsid w:val="00976143"/>
    <w:rsid w:val="009761E5"/>
    <w:rsid w:val="00976309"/>
    <w:rsid w:val="0097655A"/>
    <w:rsid w:val="009765CD"/>
    <w:rsid w:val="009766B6"/>
    <w:rsid w:val="0097671F"/>
    <w:rsid w:val="009767DD"/>
    <w:rsid w:val="00976DFF"/>
    <w:rsid w:val="009771D1"/>
    <w:rsid w:val="00977764"/>
    <w:rsid w:val="009778AD"/>
    <w:rsid w:val="00977F0D"/>
    <w:rsid w:val="00977F8A"/>
    <w:rsid w:val="009800FE"/>
    <w:rsid w:val="00980466"/>
    <w:rsid w:val="00980672"/>
    <w:rsid w:val="0098067D"/>
    <w:rsid w:val="009808C1"/>
    <w:rsid w:val="00980A06"/>
    <w:rsid w:val="00980A53"/>
    <w:rsid w:val="00980A6C"/>
    <w:rsid w:val="009813F6"/>
    <w:rsid w:val="00981557"/>
    <w:rsid w:val="00981874"/>
    <w:rsid w:val="009819B5"/>
    <w:rsid w:val="00981C48"/>
    <w:rsid w:val="00981D11"/>
    <w:rsid w:val="00981E94"/>
    <w:rsid w:val="0098202D"/>
    <w:rsid w:val="009820D8"/>
    <w:rsid w:val="009824AA"/>
    <w:rsid w:val="009825A2"/>
    <w:rsid w:val="00982C1E"/>
    <w:rsid w:val="00983165"/>
    <w:rsid w:val="009832C9"/>
    <w:rsid w:val="0098363E"/>
    <w:rsid w:val="0098365A"/>
    <w:rsid w:val="0098375E"/>
    <w:rsid w:val="00983D28"/>
    <w:rsid w:val="00983EF9"/>
    <w:rsid w:val="0098442A"/>
    <w:rsid w:val="0098455F"/>
    <w:rsid w:val="00984574"/>
    <w:rsid w:val="00984661"/>
    <w:rsid w:val="009847AD"/>
    <w:rsid w:val="009847E0"/>
    <w:rsid w:val="009847F8"/>
    <w:rsid w:val="00984BF7"/>
    <w:rsid w:val="00984C77"/>
    <w:rsid w:val="00984E4D"/>
    <w:rsid w:val="00984E89"/>
    <w:rsid w:val="00984F47"/>
    <w:rsid w:val="009851D7"/>
    <w:rsid w:val="009852E5"/>
    <w:rsid w:val="0098537C"/>
    <w:rsid w:val="0098568B"/>
    <w:rsid w:val="009858F6"/>
    <w:rsid w:val="00985BA2"/>
    <w:rsid w:val="009861AA"/>
    <w:rsid w:val="009861C9"/>
    <w:rsid w:val="00986215"/>
    <w:rsid w:val="0098670D"/>
    <w:rsid w:val="00986899"/>
    <w:rsid w:val="00986A71"/>
    <w:rsid w:val="00986CC3"/>
    <w:rsid w:val="0098755E"/>
    <w:rsid w:val="009876C1"/>
    <w:rsid w:val="00987745"/>
    <w:rsid w:val="00987775"/>
    <w:rsid w:val="00987B89"/>
    <w:rsid w:val="00987B9C"/>
    <w:rsid w:val="00987EFD"/>
    <w:rsid w:val="00987F8D"/>
    <w:rsid w:val="009900F1"/>
    <w:rsid w:val="00990297"/>
    <w:rsid w:val="00990486"/>
    <w:rsid w:val="0099063F"/>
    <w:rsid w:val="00990673"/>
    <w:rsid w:val="00990799"/>
    <w:rsid w:val="00990805"/>
    <w:rsid w:val="0099088E"/>
    <w:rsid w:val="00990895"/>
    <w:rsid w:val="009908D8"/>
    <w:rsid w:val="009909B6"/>
    <w:rsid w:val="00990C2F"/>
    <w:rsid w:val="00990F17"/>
    <w:rsid w:val="0099114A"/>
    <w:rsid w:val="0099118E"/>
    <w:rsid w:val="00991265"/>
    <w:rsid w:val="0099150D"/>
    <w:rsid w:val="009916AE"/>
    <w:rsid w:val="009916EC"/>
    <w:rsid w:val="009917E9"/>
    <w:rsid w:val="00991ACF"/>
    <w:rsid w:val="00991C16"/>
    <w:rsid w:val="00991CEC"/>
    <w:rsid w:val="00991D2B"/>
    <w:rsid w:val="00991D9E"/>
    <w:rsid w:val="00991FE2"/>
    <w:rsid w:val="00991FEE"/>
    <w:rsid w:val="00992229"/>
    <w:rsid w:val="0099233B"/>
    <w:rsid w:val="00992373"/>
    <w:rsid w:val="009925C3"/>
    <w:rsid w:val="009926BD"/>
    <w:rsid w:val="0099291E"/>
    <w:rsid w:val="009929BB"/>
    <w:rsid w:val="00992B24"/>
    <w:rsid w:val="00992CDD"/>
    <w:rsid w:val="00992D4F"/>
    <w:rsid w:val="00992DAD"/>
    <w:rsid w:val="00992DBE"/>
    <w:rsid w:val="00992E41"/>
    <w:rsid w:val="009930B6"/>
    <w:rsid w:val="00993172"/>
    <w:rsid w:val="00993293"/>
    <w:rsid w:val="009934A9"/>
    <w:rsid w:val="009937FE"/>
    <w:rsid w:val="009938E2"/>
    <w:rsid w:val="009938EC"/>
    <w:rsid w:val="00993DC2"/>
    <w:rsid w:val="00993E64"/>
    <w:rsid w:val="00994332"/>
    <w:rsid w:val="00994A45"/>
    <w:rsid w:val="00994D01"/>
    <w:rsid w:val="00994FBC"/>
    <w:rsid w:val="00995018"/>
    <w:rsid w:val="00995073"/>
    <w:rsid w:val="009950DD"/>
    <w:rsid w:val="00995162"/>
    <w:rsid w:val="0099520F"/>
    <w:rsid w:val="009953C1"/>
    <w:rsid w:val="009954B2"/>
    <w:rsid w:val="00995685"/>
    <w:rsid w:val="00995924"/>
    <w:rsid w:val="00995DE7"/>
    <w:rsid w:val="00995E30"/>
    <w:rsid w:val="00995EC1"/>
    <w:rsid w:val="0099629C"/>
    <w:rsid w:val="00996480"/>
    <w:rsid w:val="009964A9"/>
    <w:rsid w:val="00996616"/>
    <w:rsid w:val="009968DF"/>
    <w:rsid w:val="00996A79"/>
    <w:rsid w:val="00996B27"/>
    <w:rsid w:val="00996DC1"/>
    <w:rsid w:val="00996E85"/>
    <w:rsid w:val="00996EB7"/>
    <w:rsid w:val="009971B6"/>
    <w:rsid w:val="00997365"/>
    <w:rsid w:val="0099751B"/>
    <w:rsid w:val="00997696"/>
    <w:rsid w:val="0099774C"/>
    <w:rsid w:val="009979FA"/>
    <w:rsid w:val="00997B4F"/>
    <w:rsid w:val="00997C37"/>
    <w:rsid w:val="00997DD8"/>
    <w:rsid w:val="00997FBD"/>
    <w:rsid w:val="009A00CB"/>
    <w:rsid w:val="009A00E7"/>
    <w:rsid w:val="009A0254"/>
    <w:rsid w:val="009A0450"/>
    <w:rsid w:val="009A08B0"/>
    <w:rsid w:val="009A09B3"/>
    <w:rsid w:val="009A0A39"/>
    <w:rsid w:val="009A0B3A"/>
    <w:rsid w:val="009A0D9C"/>
    <w:rsid w:val="009A0DA2"/>
    <w:rsid w:val="009A0E6A"/>
    <w:rsid w:val="009A10A1"/>
    <w:rsid w:val="009A10E3"/>
    <w:rsid w:val="009A13B7"/>
    <w:rsid w:val="009A1459"/>
    <w:rsid w:val="009A1811"/>
    <w:rsid w:val="009A18C5"/>
    <w:rsid w:val="009A198B"/>
    <w:rsid w:val="009A1C85"/>
    <w:rsid w:val="009A1CD4"/>
    <w:rsid w:val="009A1E94"/>
    <w:rsid w:val="009A1F8F"/>
    <w:rsid w:val="009A22A1"/>
    <w:rsid w:val="009A22CB"/>
    <w:rsid w:val="009A2356"/>
    <w:rsid w:val="009A2384"/>
    <w:rsid w:val="009A25EE"/>
    <w:rsid w:val="009A2700"/>
    <w:rsid w:val="009A2D2B"/>
    <w:rsid w:val="009A2E25"/>
    <w:rsid w:val="009A2F65"/>
    <w:rsid w:val="009A301F"/>
    <w:rsid w:val="009A3616"/>
    <w:rsid w:val="009A3812"/>
    <w:rsid w:val="009A3DBD"/>
    <w:rsid w:val="009A3F08"/>
    <w:rsid w:val="009A4129"/>
    <w:rsid w:val="009A4325"/>
    <w:rsid w:val="009A43D4"/>
    <w:rsid w:val="009A44A6"/>
    <w:rsid w:val="009A457B"/>
    <w:rsid w:val="009A4B41"/>
    <w:rsid w:val="009A4CB8"/>
    <w:rsid w:val="009A4E7C"/>
    <w:rsid w:val="009A4FF4"/>
    <w:rsid w:val="009A5255"/>
    <w:rsid w:val="009A5294"/>
    <w:rsid w:val="009A5416"/>
    <w:rsid w:val="009A55F9"/>
    <w:rsid w:val="009A55FD"/>
    <w:rsid w:val="009A57B8"/>
    <w:rsid w:val="009A5C58"/>
    <w:rsid w:val="009A5D29"/>
    <w:rsid w:val="009A5E85"/>
    <w:rsid w:val="009A620B"/>
    <w:rsid w:val="009A6345"/>
    <w:rsid w:val="009A63C3"/>
    <w:rsid w:val="009A6403"/>
    <w:rsid w:val="009A6543"/>
    <w:rsid w:val="009A6638"/>
    <w:rsid w:val="009A6758"/>
    <w:rsid w:val="009A6825"/>
    <w:rsid w:val="009A6856"/>
    <w:rsid w:val="009A6A29"/>
    <w:rsid w:val="009A6B3B"/>
    <w:rsid w:val="009A6C52"/>
    <w:rsid w:val="009A6F33"/>
    <w:rsid w:val="009A6F9C"/>
    <w:rsid w:val="009A7067"/>
    <w:rsid w:val="009A7069"/>
    <w:rsid w:val="009A7196"/>
    <w:rsid w:val="009A724D"/>
    <w:rsid w:val="009A72A9"/>
    <w:rsid w:val="009A7557"/>
    <w:rsid w:val="009A7AAC"/>
    <w:rsid w:val="009A7C92"/>
    <w:rsid w:val="009A7CC5"/>
    <w:rsid w:val="009A7DFC"/>
    <w:rsid w:val="009A7F96"/>
    <w:rsid w:val="009B0384"/>
    <w:rsid w:val="009B0397"/>
    <w:rsid w:val="009B0AC7"/>
    <w:rsid w:val="009B0BDA"/>
    <w:rsid w:val="009B0F03"/>
    <w:rsid w:val="009B0F8F"/>
    <w:rsid w:val="009B1119"/>
    <w:rsid w:val="009B1278"/>
    <w:rsid w:val="009B13D7"/>
    <w:rsid w:val="009B15E0"/>
    <w:rsid w:val="009B1636"/>
    <w:rsid w:val="009B18B1"/>
    <w:rsid w:val="009B195C"/>
    <w:rsid w:val="009B1A2A"/>
    <w:rsid w:val="009B1A7D"/>
    <w:rsid w:val="009B1B6C"/>
    <w:rsid w:val="009B1B99"/>
    <w:rsid w:val="009B1BB0"/>
    <w:rsid w:val="009B2039"/>
    <w:rsid w:val="009B238C"/>
    <w:rsid w:val="009B27DA"/>
    <w:rsid w:val="009B304B"/>
    <w:rsid w:val="009B31E2"/>
    <w:rsid w:val="009B3226"/>
    <w:rsid w:val="009B328F"/>
    <w:rsid w:val="009B34F9"/>
    <w:rsid w:val="009B3CF6"/>
    <w:rsid w:val="009B3D22"/>
    <w:rsid w:val="009B3E42"/>
    <w:rsid w:val="009B3ED3"/>
    <w:rsid w:val="009B41A4"/>
    <w:rsid w:val="009B4250"/>
    <w:rsid w:val="009B42E3"/>
    <w:rsid w:val="009B468E"/>
    <w:rsid w:val="009B4807"/>
    <w:rsid w:val="009B48F2"/>
    <w:rsid w:val="009B4A7D"/>
    <w:rsid w:val="009B4B2C"/>
    <w:rsid w:val="009B4F5C"/>
    <w:rsid w:val="009B5319"/>
    <w:rsid w:val="009B541C"/>
    <w:rsid w:val="009B55CF"/>
    <w:rsid w:val="009B5792"/>
    <w:rsid w:val="009B5A53"/>
    <w:rsid w:val="009B5A6B"/>
    <w:rsid w:val="009B5BA6"/>
    <w:rsid w:val="009B5C84"/>
    <w:rsid w:val="009B5E73"/>
    <w:rsid w:val="009B61EE"/>
    <w:rsid w:val="009B621B"/>
    <w:rsid w:val="009B6464"/>
    <w:rsid w:val="009B65CA"/>
    <w:rsid w:val="009B67F4"/>
    <w:rsid w:val="009B6BDC"/>
    <w:rsid w:val="009B6DEB"/>
    <w:rsid w:val="009B6EAA"/>
    <w:rsid w:val="009B6EB3"/>
    <w:rsid w:val="009B6F9A"/>
    <w:rsid w:val="009B7040"/>
    <w:rsid w:val="009B7282"/>
    <w:rsid w:val="009B7408"/>
    <w:rsid w:val="009B741E"/>
    <w:rsid w:val="009B75DE"/>
    <w:rsid w:val="009B7629"/>
    <w:rsid w:val="009B7869"/>
    <w:rsid w:val="009B7AEF"/>
    <w:rsid w:val="009B7CAC"/>
    <w:rsid w:val="009B7EAE"/>
    <w:rsid w:val="009B7FE6"/>
    <w:rsid w:val="009C00C1"/>
    <w:rsid w:val="009C0402"/>
    <w:rsid w:val="009C0438"/>
    <w:rsid w:val="009C05A1"/>
    <w:rsid w:val="009C0788"/>
    <w:rsid w:val="009C0803"/>
    <w:rsid w:val="009C095C"/>
    <w:rsid w:val="009C0A18"/>
    <w:rsid w:val="009C0AEA"/>
    <w:rsid w:val="009C0E73"/>
    <w:rsid w:val="009C1024"/>
    <w:rsid w:val="009C14A1"/>
    <w:rsid w:val="009C1620"/>
    <w:rsid w:val="009C163F"/>
    <w:rsid w:val="009C16E5"/>
    <w:rsid w:val="009C1756"/>
    <w:rsid w:val="009C19A2"/>
    <w:rsid w:val="009C19CB"/>
    <w:rsid w:val="009C1AB7"/>
    <w:rsid w:val="009C1B5E"/>
    <w:rsid w:val="009C1B6D"/>
    <w:rsid w:val="009C1CC1"/>
    <w:rsid w:val="009C1D54"/>
    <w:rsid w:val="009C1E42"/>
    <w:rsid w:val="009C20B8"/>
    <w:rsid w:val="009C21E2"/>
    <w:rsid w:val="009C22D9"/>
    <w:rsid w:val="009C247B"/>
    <w:rsid w:val="009C25D2"/>
    <w:rsid w:val="009C26E5"/>
    <w:rsid w:val="009C282C"/>
    <w:rsid w:val="009C2A3C"/>
    <w:rsid w:val="009C2C2B"/>
    <w:rsid w:val="009C2D8C"/>
    <w:rsid w:val="009C2F89"/>
    <w:rsid w:val="009C30CA"/>
    <w:rsid w:val="009C3325"/>
    <w:rsid w:val="009C33A0"/>
    <w:rsid w:val="009C3414"/>
    <w:rsid w:val="009C34F2"/>
    <w:rsid w:val="009C35CB"/>
    <w:rsid w:val="009C38F5"/>
    <w:rsid w:val="009C390B"/>
    <w:rsid w:val="009C3AED"/>
    <w:rsid w:val="009C3B6B"/>
    <w:rsid w:val="009C3CC5"/>
    <w:rsid w:val="009C43B6"/>
    <w:rsid w:val="009C43BD"/>
    <w:rsid w:val="009C4C1C"/>
    <w:rsid w:val="009C4EBE"/>
    <w:rsid w:val="009C51B2"/>
    <w:rsid w:val="009C51F2"/>
    <w:rsid w:val="009C5493"/>
    <w:rsid w:val="009C54B1"/>
    <w:rsid w:val="009C5741"/>
    <w:rsid w:val="009C5C93"/>
    <w:rsid w:val="009C5CB9"/>
    <w:rsid w:val="009C5D06"/>
    <w:rsid w:val="009C5F23"/>
    <w:rsid w:val="009C610E"/>
    <w:rsid w:val="009C6171"/>
    <w:rsid w:val="009C62FB"/>
    <w:rsid w:val="009C6628"/>
    <w:rsid w:val="009C663C"/>
    <w:rsid w:val="009C67BF"/>
    <w:rsid w:val="009C67E1"/>
    <w:rsid w:val="009C6953"/>
    <w:rsid w:val="009C6975"/>
    <w:rsid w:val="009C6C1E"/>
    <w:rsid w:val="009C6C55"/>
    <w:rsid w:val="009C6E0C"/>
    <w:rsid w:val="009C6E86"/>
    <w:rsid w:val="009C7088"/>
    <w:rsid w:val="009C767E"/>
    <w:rsid w:val="009C7B74"/>
    <w:rsid w:val="009C7C4A"/>
    <w:rsid w:val="009C7E81"/>
    <w:rsid w:val="009D073B"/>
    <w:rsid w:val="009D093A"/>
    <w:rsid w:val="009D0D48"/>
    <w:rsid w:val="009D0DAB"/>
    <w:rsid w:val="009D0F1A"/>
    <w:rsid w:val="009D132D"/>
    <w:rsid w:val="009D1471"/>
    <w:rsid w:val="009D1506"/>
    <w:rsid w:val="009D1BD9"/>
    <w:rsid w:val="009D1BF1"/>
    <w:rsid w:val="009D1E8C"/>
    <w:rsid w:val="009D2447"/>
    <w:rsid w:val="009D29AD"/>
    <w:rsid w:val="009D2A6E"/>
    <w:rsid w:val="009D2BC6"/>
    <w:rsid w:val="009D2D1D"/>
    <w:rsid w:val="009D2E1A"/>
    <w:rsid w:val="009D2E9B"/>
    <w:rsid w:val="009D327E"/>
    <w:rsid w:val="009D33CF"/>
    <w:rsid w:val="009D34C5"/>
    <w:rsid w:val="009D37DD"/>
    <w:rsid w:val="009D3997"/>
    <w:rsid w:val="009D3CD9"/>
    <w:rsid w:val="009D4151"/>
    <w:rsid w:val="009D4377"/>
    <w:rsid w:val="009D4625"/>
    <w:rsid w:val="009D4719"/>
    <w:rsid w:val="009D4925"/>
    <w:rsid w:val="009D4A50"/>
    <w:rsid w:val="009D4AEE"/>
    <w:rsid w:val="009D4D84"/>
    <w:rsid w:val="009D4DF0"/>
    <w:rsid w:val="009D4F76"/>
    <w:rsid w:val="009D4FDB"/>
    <w:rsid w:val="009D50E6"/>
    <w:rsid w:val="009D5160"/>
    <w:rsid w:val="009D5239"/>
    <w:rsid w:val="009D523F"/>
    <w:rsid w:val="009D5598"/>
    <w:rsid w:val="009D569F"/>
    <w:rsid w:val="009D5782"/>
    <w:rsid w:val="009D57B4"/>
    <w:rsid w:val="009D5923"/>
    <w:rsid w:val="009D5C09"/>
    <w:rsid w:val="009D5C22"/>
    <w:rsid w:val="009D5F0D"/>
    <w:rsid w:val="009D5F1F"/>
    <w:rsid w:val="009D6206"/>
    <w:rsid w:val="009D620B"/>
    <w:rsid w:val="009D6374"/>
    <w:rsid w:val="009D6418"/>
    <w:rsid w:val="009D65EA"/>
    <w:rsid w:val="009D6634"/>
    <w:rsid w:val="009D6726"/>
    <w:rsid w:val="009D6BF4"/>
    <w:rsid w:val="009D6D9D"/>
    <w:rsid w:val="009D6EA6"/>
    <w:rsid w:val="009D6EEE"/>
    <w:rsid w:val="009D714C"/>
    <w:rsid w:val="009D7223"/>
    <w:rsid w:val="009D7425"/>
    <w:rsid w:val="009D746F"/>
    <w:rsid w:val="009D7676"/>
    <w:rsid w:val="009D7B85"/>
    <w:rsid w:val="009D7C61"/>
    <w:rsid w:val="009D7F7F"/>
    <w:rsid w:val="009E0222"/>
    <w:rsid w:val="009E0536"/>
    <w:rsid w:val="009E06BB"/>
    <w:rsid w:val="009E0AC2"/>
    <w:rsid w:val="009E0B63"/>
    <w:rsid w:val="009E0F99"/>
    <w:rsid w:val="009E1108"/>
    <w:rsid w:val="009E1307"/>
    <w:rsid w:val="009E1449"/>
    <w:rsid w:val="009E14A6"/>
    <w:rsid w:val="009E1A97"/>
    <w:rsid w:val="009E1C04"/>
    <w:rsid w:val="009E1C23"/>
    <w:rsid w:val="009E1D94"/>
    <w:rsid w:val="009E1E23"/>
    <w:rsid w:val="009E1EC9"/>
    <w:rsid w:val="009E1F5E"/>
    <w:rsid w:val="009E2106"/>
    <w:rsid w:val="009E221E"/>
    <w:rsid w:val="009E2297"/>
    <w:rsid w:val="009E242D"/>
    <w:rsid w:val="009E25BA"/>
    <w:rsid w:val="009E2621"/>
    <w:rsid w:val="009E28FE"/>
    <w:rsid w:val="009E2938"/>
    <w:rsid w:val="009E297C"/>
    <w:rsid w:val="009E297F"/>
    <w:rsid w:val="009E2B1F"/>
    <w:rsid w:val="009E2D22"/>
    <w:rsid w:val="009E2EE5"/>
    <w:rsid w:val="009E2EE7"/>
    <w:rsid w:val="009E2F7C"/>
    <w:rsid w:val="009E302F"/>
    <w:rsid w:val="009E304E"/>
    <w:rsid w:val="009E31BD"/>
    <w:rsid w:val="009E36A6"/>
    <w:rsid w:val="009E37A6"/>
    <w:rsid w:val="009E39A7"/>
    <w:rsid w:val="009E3B11"/>
    <w:rsid w:val="009E3C25"/>
    <w:rsid w:val="009E417C"/>
    <w:rsid w:val="009E42CB"/>
    <w:rsid w:val="009E42DF"/>
    <w:rsid w:val="009E432D"/>
    <w:rsid w:val="009E455E"/>
    <w:rsid w:val="009E4605"/>
    <w:rsid w:val="009E4871"/>
    <w:rsid w:val="009E488C"/>
    <w:rsid w:val="009E4AD4"/>
    <w:rsid w:val="009E4AFC"/>
    <w:rsid w:val="009E4B9D"/>
    <w:rsid w:val="009E4C00"/>
    <w:rsid w:val="009E4C94"/>
    <w:rsid w:val="009E5179"/>
    <w:rsid w:val="009E51EA"/>
    <w:rsid w:val="009E5234"/>
    <w:rsid w:val="009E53EF"/>
    <w:rsid w:val="009E56DC"/>
    <w:rsid w:val="009E5AB4"/>
    <w:rsid w:val="009E5B77"/>
    <w:rsid w:val="009E5C22"/>
    <w:rsid w:val="009E5E1C"/>
    <w:rsid w:val="009E6028"/>
    <w:rsid w:val="009E6118"/>
    <w:rsid w:val="009E61B3"/>
    <w:rsid w:val="009E62A9"/>
    <w:rsid w:val="009E6650"/>
    <w:rsid w:val="009E6952"/>
    <w:rsid w:val="009E6C7F"/>
    <w:rsid w:val="009E6CDC"/>
    <w:rsid w:val="009E70A0"/>
    <w:rsid w:val="009E70D6"/>
    <w:rsid w:val="009E7537"/>
    <w:rsid w:val="009E765B"/>
    <w:rsid w:val="009E794B"/>
    <w:rsid w:val="009E7A26"/>
    <w:rsid w:val="009E7F35"/>
    <w:rsid w:val="009F02BD"/>
    <w:rsid w:val="009F0337"/>
    <w:rsid w:val="009F0649"/>
    <w:rsid w:val="009F0964"/>
    <w:rsid w:val="009F0993"/>
    <w:rsid w:val="009F0CCA"/>
    <w:rsid w:val="009F0CCE"/>
    <w:rsid w:val="009F0DD7"/>
    <w:rsid w:val="009F0DEF"/>
    <w:rsid w:val="009F0F69"/>
    <w:rsid w:val="009F0F6E"/>
    <w:rsid w:val="009F1001"/>
    <w:rsid w:val="009F1034"/>
    <w:rsid w:val="009F1443"/>
    <w:rsid w:val="009F1601"/>
    <w:rsid w:val="009F175C"/>
    <w:rsid w:val="009F1789"/>
    <w:rsid w:val="009F19F4"/>
    <w:rsid w:val="009F1BA9"/>
    <w:rsid w:val="009F1C97"/>
    <w:rsid w:val="009F1D61"/>
    <w:rsid w:val="009F1E45"/>
    <w:rsid w:val="009F1F3A"/>
    <w:rsid w:val="009F2210"/>
    <w:rsid w:val="009F2717"/>
    <w:rsid w:val="009F287D"/>
    <w:rsid w:val="009F2899"/>
    <w:rsid w:val="009F2A9B"/>
    <w:rsid w:val="009F2FC0"/>
    <w:rsid w:val="009F3562"/>
    <w:rsid w:val="009F35BC"/>
    <w:rsid w:val="009F3696"/>
    <w:rsid w:val="009F3758"/>
    <w:rsid w:val="009F3822"/>
    <w:rsid w:val="009F38EA"/>
    <w:rsid w:val="009F390D"/>
    <w:rsid w:val="009F39BD"/>
    <w:rsid w:val="009F3AC5"/>
    <w:rsid w:val="009F3D7E"/>
    <w:rsid w:val="009F3DBB"/>
    <w:rsid w:val="009F3E37"/>
    <w:rsid w:val="009F40E4"/>
    <w:rsid w:val="009F41BD"/>
    <w:rsid w:val="009F47D9"/>
    <w:rsid w:val="009F4805"/>
    <w:rsid w:val="009F4A4F"/>
    <w:rsid w:val="009F4EF4"/>
    <w:rsid w:val="009F4F83"/>
    <w:rsid w:val="009F5108"/>
    <w:rsid w:val="009F52E9"/>
    <w:rsid w:val="009F539E"/>
    <w:rsid w:val="009F5518"/>
    <w:rsid w:val="009F55E8"/>
    <w:rsid w:val="009F56A2"/>
    <w:rsid w:val="009F56DF"/>
    <w:rsid w:val="009F588F"/>
    <w:rsid w:val="009F590A"/>
    <w:rsid w:val="009F5ECB"/>
    <w:rsid w:val="009F5F0B"/>
    <w:rsid w:val="009F5FFD"/>
    <w:rsid w:val="009F60CB"/>
    <w:rsid w:val="009F64F9"/>
    <w:rsid w:val="009F65CB"/>
    <w:rsid w:val="009F6720"/>
    <w:rsid w:val="009F6781"/>
    <w:rsid w:val="009F6906"/>
    <w:rsid w:val="009F7219"/>
    <w:rsid w:val="009F7363"/>
    <w:rsid w:val="009F7D86"/>
    <w:rsid w:val="009F7DC6"/>
    <w:rsid w:val="009F7E86"/>
    <w:rsid w:val="00A00191"/>
    <w:rsid w:val="00A00355"/>
    <w:rsid w:val="00A00452"/>
    <w:rsid w:val="00A006A0"/>
    <w:rsid w:val="00A00C35"/>
    <w:rsid w:val="00A00D3C"/>
    <w:rsid w:val="00A00E9B"/>
    <w:rsid w:val="00A01277"/>
    <w:rsid w:val="00A01326"/>
    <w:rsid w:val="00A0137D"/>
    <w:rsid w:val="00A016C2"/>
    <w:rsid w:val="00A01945"/>
    <w:rsid w:val="00A01972"/>
    <w:rsid w:val="00A01B3B"/>
    <w:rsid w:val="00A01C99"/>
    <w:rsid w:val="00A01E8B"/>
    <w:rsid w:val="00A01F8C"/>
    <w:rsid w:val="00A020DF"/>
    <w:rsid w:val="00A0238D"/>
    <w:rsid w:val="00A025C7"/>
    <w:rsid w:val="00A02A3A"/>
    <w:rsid w:val="00A02AD9"/>
    <w:rsid w:val="00A02BC1"/>
    <w:rsid w:val="00A02C3A"/>
    <w:rsid w:val="00A03103"/>
    <w:rsid w:val="00A03197"/>
    <w:rsid w:val="00A03554"/>
    <w:rsid w:val="00A0359F"/>
    <w:rsid w:val="00A0364D"/>
    <w:rsid w:val="00A03AD3"/>
    <w:rsid w:val="00A03B5F"/>
    <w:rsid w:val="00A03BB7"/>
    <w:rsid w:val="00A040AF"/>
    <w:rsid w:val="00A041D3"/>
    <w:rsid w:val="00A0445C"/>
    <w:rsid w:val="00A0447E"/>
    <w:rsid w:val="00A0458E"/>
    <w:rsid w:val="00A048B5"/>
    <w:rsid w:val="00A04AF8"/>
    <w:rsid w:val="00A04DE3"/>
    <w:rsid w:val="00A04FAD"/>
    <w:rsid w:val="00A04FAE"/>
    <w:rsid w:val="00A05040"/>
    <w:rsid w:val="00A05238"/>
    <w:rsid w:val="00A05381"/>
    <w:rsid w:val="00A055BE"/>
    <w:rsid w:val="00A05649"/>
    <w:rsid w:val="00A057FC"/>
    <w:rsid w:val="00A0595E"/>
    <w:rsid w:val="00A05996"/>
    <w:rsid w:val="00A05C9E"/>
    <w:rsid w:val="00A060EB"/>
    <w:rsid w:val="00A0626F"/>
    <w:rsid w:val="00A065B2"/>
    <w:rsid w:val="00A06778"/>
    <w:rsid w:val="00A067EC"/>
    <w:rsid w:val="00A06A5E"/>
    <w:rsid w:val="00A06DF5"/>
    <w:rsid w:val="00A06E2D"/>
    <w:rsid w:val="00A0709A"/>
    <w:rsid w:val="00A07393"/>
    <w:rsid w:val="00A07410"/>
    <w:rsid w:val="00A07470"/>
    <w:rsid w:val="00A07520"/>
    <w:rsid w:val="00A0763E"/>
    <w:rsid w:val="00A076B5"/>
    <w:rsid w:val="00A07AF2"/>
    <w:rsid w:val="00A07B4C"/>
    <w:rsid w:val="00A07EE6"/>
    <w:rsid w:val="00A101DD"/>
    <w:rsid w:val="00A10204"/>
    <w:rsid w:val="00A102A9"/>
    <w:rsid w:val="00A105E5"/>
    <w:rsid w:val="00A10676"/>
    <w:rsid w:val="00A106B7"/>
    <w:rsid w:val="00A107E3"/>
    <w:rsid w:val="00A10814"/>
    <w:rsid w:val="00A108B4"/>
    <w:rsid w:val="00A10A89"/>
    <w:rsid w:val="00A10CB1"/>
    <w:rsid w:val="00A10EA0"/>
    <w:rsid w:val="00A10F52"/>
    <w:rsid w:val="00A112EA"/>
    <w:rsid w:val="00A11634"/>
    <w:rsid w:val="00A1165A"/>
    <w:rsid w:val="00A11962"/>
    <w:rsid w:val="00A121A8"/>
    <w:rsid w:val="00A121F2"/>
    <w:rsid w:val="00A12366"/>
    <w:rsid w:val="00A1250E"/>
    <w:rsid w:val="00A1259D"/>
    <w:rsid w:val="00A12627"/>
    <w:rsid w:val="00A12639"/>
    <w:rsid w:val="00A12A57"/>
    <w:rsid w:val="00A12B79"/>
    <w:rsid w:val="00A12C36"/>
    <w:rsid w:val="00A12E6B"/>
    <w:rsid w:val="00A13093"/>
    <w:rsid w:val="00A1330C"/>
    <w:rsid w:val="00A136DF"/>
    <w:rsid w:val="00A139C6"/>
    <w:rsid w:val="00A13A31"/>
    <w:rsid w:val="00A13C42"/>
    <w:rsid w:val="00A13F2C"/>
    <w:rsid w:val="00A13F44"/>
    <w:rsid w:val="00A14414"/>
    <w:rsid w:val="00A1463B"/>
    <w:rsid w:val="00A14780"/>
    <w:rsid w:val="00A14B66"/>
    <w:rsid w:val="00A14DF9"/>
    <w:rsid w:val="00A14E96"/>
    <w:rsid w:val="00A14FDD"/>
    <w:rsid w:val="00A151F5"/>
    <w:rsid w:val="00A152CD"/>
    <w:rsid w:val="00A1533A"/>
    <w:rsid w:val="00A153BF"/>
    <w:rsid w:val="00A153FA"/>
    <w:rsid w:val="00A1547D"/>
    <w:rsid w:val="00A156B6"/>
    <w:rsid w:val="00A15942"/>
    <w:rsid w:val="00A15956"/>
    <w:rsid w:val="00A15A26"/>
    <w:rsid w:val="00A15B33"/>
    <w:rsid w:val="00A15C84"/>
    <w:rsid w:val="00A15FE9"/>
    <w:rsid w:val="00A1618D"/>
    <w:rsid w:val="00A162AD"/>
    <w:rsid w:val="00A1640D"/>
    <w:rsid w:val="00A16596"/>
    <w:rsid w:val="00A1668F"/>
    <w:rsid w:val="00A1676F"/>
    <w:rsid w:val="00A16A3B"/>
    <w:rsid w:val="00A16C1A"/>
    <w:rsid w:val="00A16D99"/>
    <w:rsid w:val="00A16E04"/>
    <w:rsid w:val="00A16F98"/>
    <w:rsid w:val="00A16FF4"/>
    <w:rsid w:val="00A170C6"/>
    <w:rsid w:val="00A17114"/>
    <w:rsid w:val="00A17221"/>
    <w:rsid w:val="00A1733C"/>
    <w:rsid w:val="00A174FA"/>
    <w:rsid w:val="00A1769D"/>
    <w:rsid w:val="00A17783"/>
    <w:rsid w:val="00A17786"/>
    <w:rsid w:val="00A177E4"/>
    <w:rsid w:val="00A17826"/>
    <w:rsid w:val="00A17904"/>
    <w:rsid w:val="00A17AF9"/>
    <w:rsid w:val="00A17B6C"/>
    <w:rsid w:val="00A17E97"/>
    <w:rsid w:val="00A17EA6"/>
    <w:rsid w:val="00A20027"/>
    <w:rsid w:val="00A20037"/>
    <w:rsid w:val="00A2006C"/>
    <w:rsid w:val="00A200BD"/>
    <w:rsid w:val="00A203C3"/>
    <w:rsid w:val="00A20559"/>
    <w:rsid w:val="00A20A4E"/>
    <w:rsid w:val="00A20F68"/>
    <w:rsid w:val="00A20FFE"/>
    <w:rsid w:val="00A21003"/>
    <w:rsid w:val="00A210A7"/>
    <w:rsid w:val="00A21532"/>
    <w:rsid w:val="00A21629"/>
    <w:rsid w:val="00A2185E"/>
    <w:rsid w:val="00A218D3"/>
    <w:rsid w:val="00A21AD7"/>
    <w:rsid w:val="00A21D9A"/>
    <w:rsid w:val="00A21ECC"/>
    <w:rsid w:val="00A21F4E"/>
    <w:rsid w:val="00A223D5"/>
    <w:rsid w:val="00A227A4"/>
    <w:rsid w:val="00A229B4"/>
    <w:rsid w:val="00A22D68"/>
    <w:rsid w:val="00A22D94"/>
    <w:rsid w:val="00A22F5D"/>
    <w:rsid w:val="00A23486"/>
    <w:rsid w:val="00A23579"/>
    <w:rsid w:val="00A235BD"/>
    <w:rsid w:val="00A235CD"/>
    <w:rsid w:val="00A2388B"/>
    <w:rsid w:val="00A246C8"/>
    <w:rsid w:val="00A2486E"/>
    <w:rsid w:val="00A248A4"/>
    <w:rsid w:val="00A2491C"/>
    <w:rsid w:val="00A24D84"/>
    <w:rsid w:val="00A24D97"/>
    <w:rsid w:val="00A25396"/>
    <w:rsid w:val="00A2558D"/>
    <w:rsid w:val="00A257E0"/>
    <w:rsid w:val="00A259B1"/>
    <w:rsid w:val="00A259C5"/>
    <w:rsid w:val="00A25B71"/>
    <w:rsid w:val="00A25BE1"/>
    <w:rsid w:val="00A25BF8"/>
    <w:rsid w:val="00A25C80"/>
    <w:rsid w:val="00A25C9C"/>
    <w:rsid w:val="00A25E13"/>
    <w:rsid w:val="00A2605A"/>
    <w:rsid w:val="00A260BD"/>
    <w:rsid w:val="00A260CD"/>
    <w:rsid w:val="00A261DB"/>
    <w:rsid w:val="00A26331"/>
    <w:rsid w:val="00A26440"/>
    <w:rsid w:val="00A2653C"/>
    <w:rsid w:val="00A265C6"/>
    <w:rsid w:val="00A26620"/>
    <w:rsid w:val="00A2675D"/>
    <w:rsid w:val="00A26927"/>
    <w:rsid w:val="00A26A48"/>
    <w:rsid w:val="00A26A86"/>
    <w:rsid w:val="00A26F84"/>
    <w:rsid w:val="00A2709D"/>
    <w:rsid w:val="00A2730D"/>
    <w:rsid w:val="00A273D8"/>
    <w:rsid w:val="00A27986"/>
    <w:rsid w:val="00A27B14"/>
    <w:rsid w:val="00A27C08"/>
    <w:rsid w:val="00A27C0F"/>
    <w:rsid w:val="00A27C4D"/>
    <w:rsid w:val="00A30407"/>
    <w:rsid w:val="00A3042A"/>
    <w:rsid w:val="00A3055D"/>
    <w:rsid w:val="00A30666"/>
    <w:rsid w:val="00A30689"/>
    <w:rsid w:val="00A30747"/>
    <w:rsid w:val="00A30983"/>
    <w:rsid w:val="00A31005"/>
    <w:rsid w:val="00A31853"/>
    <w:rsid w:val="00A318A0"/>
    <w:rsid w:val="00A31AAD"/>
    <w:rsid w:val="00A31B34"/>
    <w:rsid w:val="00A31BE2"/>
    <w:rsid w:val="00A31D4E"/>
    <w:rsid w:val="00A31D7E"/>
    <w:rsid w:val="00A31D92"/>
    <w:rsid w:val="00A31E0C"/>
    <w:rsid w:val="00A31E11"/>
    <w:rsid w:val="00A32059"/>
    <w:rsid w:val="00A3206B"/>
    <w:rsid w:val="00A320B4"/>
    <w:rsid w:val="00A32856"/>
    <w:rsid w:val="00A32BFA"/>
    <w:rsid w:val="00A32E32"/>
    <w:rsid w:val="00A32F42"/>
    <w:rsid w:val="00A32FF6"/>
    <w:rsid w:val="00A33435"/>
    <w:rsid w:val="00A335B7"/>
    <w:rsid w:val="00A3396A"/>
    <w:rsid w:val="00A33A6B"/>
    <w:rsid w:val="00A33BA5"/>
    <w:rsid w:val="00A33C1B"/>
    <w:rsid w:val="00A33CD4"/>
    <w:rsid w:val="00A34092"/>
    <w:rsid w:val="00A340E6"/>
    <w:rsid w:val="00A344BC"/>
    <w:rsid w:val="00A346EE"/>
    <w:rsid w:val="00A348FD"/>
    <w:rsid w:val="00A34ABC"/>
    <w:rsid w:val="00A35004"/>
    <w:rsid w:val="00A353A4"/>
    <w:rsid w:val="00A35569"/>
    <w:rsid w:val="00A35BAB"/>
    <w:rsid w:val="00A35E44"/>
    <w:rsid w:val="00A36444"/>
    <w:rsid w:val="00A364D5"/>
    <w:rsid w:val="00A364DE"/>
    <w:rsid w:val="00A365CE"/>
    <w:rsid w:val="00A3681B"/>
    <w:rsid w:val="00A36A0C"/>
    <w:rsid w:val="00A36B31"/>
    <w:rsid w:val="00A36EDE"/>
    <w:rsid w:val="00A36F56"/>
    <w:rsid w:val="00A3709C"/>
    <w:rsid w:val="00A372F9"/>
    <w:rsid w:val="00A373E4"/>
    <w:rsid w:val="00A373F1"/>
    <w:rsid w:val="00A374AD"/>
    <w:rsid w:val="00A378FC"/>
    <w:rsid w:val="00A37A29"/>
    <w:rsid w:val="00A37A43"/>
    <w:rsid w:val="00A37C1E"/>
    <w:rsid w:val="00A37D4C"/>
    <w:rsid w:val="00A40214"/>
    <w:rsid w:val="00A403EC"/>
    <w:rsid w:val="00A405D2"/>
    <w:rsid w:val="00A4060E"/>
    <w:rsid w:val="00A408F9"/>
    <w:rsid w:val="00A40A18"/>
    <w:rsid w:val="00A40BEA"/>
    <w:rsid w:val="00A411A1"/>
    <w:rsid w:val="00A41212"/>
    <w:rsid w:val="00A4132B"/>
    <w:rsid w:val="00A41354"/>
    <w:rsid w:val="00A4148A"/>
    <w:rsid w:val="00A41523"/>
    <w:rsid w:val="00A418C3"/>
    <w:rsid w:val="00A424AD"/>
    <w:rsid w:val="00A4251F"/>
    <w:rsid w:val="00A425FB"/>
    <w:rsid w:val="00A42641"/>
    <w:rsid w:val="00A426B1"/>
    <w:rsid w:val="00A42750"/>
    <w:rsid w:val="00A42A1C"/>
    <w:rsid w:val="00A42A9B"/>
    <w:rsid w:val="00A42D3E"/>
    <w:rsid w:val="00A42F4E"/>
    <w:rsid w:val="00A43021"/>
    <w:rsid w:val="00A4310C"/>
    <w:rsid w:val="00A433C6"/>
    <w:rsid w:val="00A4361F"/>
    <w:rsid w:val="00A43627"/>
    <w:rsid w:val="00A436E2"/>
    <w:rsid w:val="00A43B24"/>
    <w:rsid w:val="00A43C27"/>
    <w:rsid w:val="00A43D51"/>
    <w:rsid w:val="00A441EC"/>
    <w:rsid w:val="00A442C5"/>
    <w:rsid w:val="00A445B3"/>
    <w:rsid w:val="00A44835"/>
    <w:rsid w:val="00A448A5"/>
    <w:rsid w:val="00A44946"/>
    <w:rsid w:val="00A44C56"/>
    <w:rsid w:val="00A44E90"/>
    <w:rsid w:val="00A44EBA"/>
    <w:rsid w:val="00A44EC7"/>
    <w:rsid w:val="00A4506D"/>
    <w:rsid w:val="00A450A2"/>
    <w:rsid w:val="00A450FA"/>
    <w:rsid w:val="00A452FC"/>
    <w:rsid w:val="00A4544D"/>
    <w:rsid w:val="00A45625"/>
    <w:rsid w:val="00A456B4"/>
    <w:rsid w:val="00A45B62"/>
    <w:rsid w:val="00A45C6D"/>
    <w:rsid w:val="00A45DBA"/>
    <w:rsid w:val="00A45F90"/>
    <w:rsid w:val="00A4600D"/>
    <w:rsid w:val="00A4603D"/>
    <w:rsid w:val="00A46163"/>
    <w:rsid w:val="00A4654D"/>
    <w:rsid w:val="00A469D2"/>
    <w:rsid w:val="00A469D8"/>
    <w:rsid w:val="00A46C16"/>
    <w:rsid w:val="00A46E8F"/>
    <w:rsid w:val="00A46FA5"/>
    <w:rsid w:val="00A472D4"/>
    <w:rsid w:val="00A47306"/>
    <w:rsid w:val="00A4731F"/>
    <w:rsid w:val="00A4769D"/>
    <w:rsid w:val="00A476A6"/>
    <w:rsid w:val="00A477E1"/>
    <w:rsid w:val="00A47AD1"/>
    <w:rsid w:val="00A47D7E"/>
    <w:rsid w:val="00A5002E"/>
    <w:rsid w:val="00A5005C"/>
    <w:rsid w:val="00A500EE"/>
    <w:rsid w:val="00A5016F"/>
    <w:rsid w:val="00A501E9"/>
    <w:rsid w:val="00A50227"/>
    <w:rsid w:val="00A50419"/>
    <w:rsid w:val="00A50996"/>
    <w:rsid w:val="00A50B0B"/>
    <w:rsid w:val="00A50CB7"/>
    <w:rsid w:val="00A51406"/>
    <w:rsid w:val="00A5144F"/>
    <w:rsid w:val="00A5145B"/>
    <w:rsid w:val="00A51602"/>
    <w:rsid w:val="00A51722"/>
    <w:rsid w:val="00A51BA9"/>
    <w:rsid w:val="00A51C78"/>
    <w:rsid w:val="00A51D4F"/>
    <w:rsid w:val="00A51E3C"/>
    <w:rsid w:val="00A51FBC"/>
    <w:rsid w:val="00A520A5"/>
    <w:rsid w:val="00A520EC"/>
    <w:rsid w:val="00A52393"/>
    <w:rsid w:val="00A523CB"/>
    <w:rsid w:val="00A523E2"/>
    <w:rsid w:val="00A52462"/>
    <w:rsid w:val="00A52468"/>
    <w:rsid w:val="00A5265C"/>
    <w:rsid w:val="00A528A0"/>
    <w:rsid w:val="00A528D2"/>
    <w:rsid w:val="00A52984"/>
    <w:rsid w:val="00A52A56"/>
    <w:rsid w:val="00A52BF2"/>
    <w:rsid w:val="00A52D9A"/>
    <w:rsid w:val="00A52F50"/>
    <w:rsid w:val="00A52F67"/>
    <w:rsid w:val="00A53298"/>
    <w:rsid w:val="00A533E9"/>
    <w:rsid w:val="00A534CE"/>
    <w:rsid w:val="00A5355C"/>
    <w:rsid w:val="00A53793"/>
    <w:rsid w:val="00A53C10"/>
    <w:rsid w:val="00A53DBE"/>
    <w:rsid w:val="00A53DEC"/>
    <w:rsid w:val="00A541DB"/>
    <w:rsid w:val="00A54993"/>
    <w:rsid w:val="00A54A51"/>
    <w:rsid w:val="00A54AA7"/>
    <w:rsid w:val="00A54E6C"/>
    <w:rsid w:val="00A54EB8"/>
    <w:rsid w:val="00A54FBB"/>
    <w:rsid w:val="00A5520E"/>
    <w:rsid w:val="00A555F6"/>
    <w:rsid w:val="00A5563A"/>
    <w:rsid w:val="00A557B6"/>
    <w:rsid w:val="00A55824"/>
    <w:rsid w:val="00A5583B"/>
    <w:rsid w:val="00A55A97"/>
    <w:rsid w:val="00A55AA1"/>
    <w:rsid w:val="00A55E3C"/>
    <w:rsid w:val="00A55E96"/>
    <w:rsid w:val="00A55ED4"/>
    <w:rsid w:val="00A56082"/>
    <w:rsid w:val="00A5626C"/>
    <w:rsid w:val="00A5644F"/>
    <w:rsid w:val="00A564B8"/>
    <w:rsid w:val="00A56540"/>
    <w:rsid w:val="00A565AC"/>
    <w:rsid w:val="00A56972"/>
    <w:rsid w:val="00A56B4C"/>
    <w:rsid w:val="00A56FCE"/>
    <w:rsid w:val="00A5753E"/>
    <w:rsid w:val="00A576F7"/>
    <w:rsid w:val="00A57A87"/>
    <w:rsid w:val="00A57BE5"/>
    <w:rsid w:val="00A57E32"/>
    <w:rsid w:val="00A57E68"/>
    <w:rsid w:val="00A60155"/>
    <w:rsid w:val="00A601A1"/>
    <w:rsid w:val="00A602B3"/>
    <w:rsid w:val="00A60353"/>
    <w:rsid w:val="00A6059F"/>
    <w:rsid w:val="00A605A6"/>
    <w:rsid w:val="00A6067E"/>
    <w:rsid w:val="00A606D3"/>
    <w:rsid w:val="00A60942"/>
    <w:rsid w:val="00A60C9F"/>
    <w:rsid w:val="00A60E65"/>
    <w:rsid w:val="00A60F12"/>
    <w:rsid w:val="00A61426"/>
    <w:rsid w:val="00A6164E"/>
    <w:rsid w:val="00A6171F"/>
    <w:rsid w:val="00A61755"/>
    <w:rsid w:val="00A617F1"/>
    <w:rsid w:val="00A61B93"/>
    <w:rsid w:val="00A61BAF"/>
    <w:rsid w:val="00A61E74"/>
    <w:rsid w:val="00A6202F"/>
    <w:rsid w:val="00A620A7"/>
    <w:rsid w:val="00A62116"/>
    <w:rsid w:val="00A62129"/>
    <w:rsid w:val="00A6241F"/>
    <w:rsid w:val="00A626E4"/>
    <w:rsid w:val="00A62892"/>
    <w:rsid w:val="00A62A60"/>
    <w:rsid w:val="00A62B4B"/>
    <w:rsid w:val="00A62D23"/>
    <w:rsid w:val="00A62E26"/>
    <w:rsid w:val="00A6335A"/>
    <w:rsid w:val="00A634E1"/>
    <w:rsid w:val="00A6357E"/>
    <w:rsid w:val="00A63695"/>
    <w:rsid w:val="00A63854"/>
    <w:rsid w:val="00A638D7"/>
    <w:rsid w:val="00A63CE2"/>
    <w:rsid w:val="00A63D54"/>
    <w:rsid w:val="00A64146"/>
    <w:rsid w:val="00A641CB"/>
    <w:rsid w:val="00A643D2"/>
    <w:rsid w:val="00A64553"/>
    <w:rsid w:val="00A64816"/>
    <w:rsid w:val="00A648CF"/>
    <w:rsid w:val="00A64994"/>
    <w:rsid w:val="00A64D71"/>
    <w:rsid w:val="00A64DAF"/>
    <w:rsid w:val="00A64E2D"/>
    <w:rsid w:val="00A64EE3"/>
    <w:rsid w:val="00A65431"/>
    <w:rsid w:val="00A65547"/>
    <w:rsid w:val="00A65572"/>
    <w:rsid w:val="00A655BC"/>
    <w:rsid w:val="00A65686"/>
    <w:rsid w:val="00A6598A"/>
    <w:rsid w:val="00A65ADD"/>
    <w:rsid w:val="00A65B38"/>
    <w:rsid w:val="00A65E63"/>
    <w:rsid w:val="00A65EB8"/>
    <w:rsid w:val="00A66467"/>
    <w:rsid w:val="00A66C01"/>
    <w:rsid w:val="00A66CDF"/>
    <w:rsid w:val="00A66F1E"/>
    <w:rsid w:val="00A67087"/>
    <w:rsid w:val="00A6711A"/>
    <w:rsid w:val="00A67239"/>
    <w:rsid w:val="00A674C7"/>
    <w:rsid w:val="00A67865"/>
    <w:rsid w:val="00A67C59"/>
    <w:rsid w:val="00A67CDD"/>
    <w:rsid w:val="00A67E13"/>
    <w:rsid w:val="00A67F87"/>
    <w:rsid w:val="00A70069"/>
    <w:rsid w:val="00A704C2"/>
    <w:rsid w:val="00A70615"/>
    <w:rsid w:val="00A7068F"/>
    <w:rsid w:val="00A7098C"/>
    <w:rsid w:val="00A70AB4"/>
    <w:rsid w:val="00A70F69"/>
    <w:rsid w:val="00A71249"/>
    <w:rsid w:val="00A71340"/>
    <w:rsid w:val="00A71608"/>
    <w:rsid w:val="00A718A6"/>
    <w:rsid w:val="00A71C8E"/>
    <w:rsid w:val="00A71DAB"/>
    <w:rsid w:val="00A71ECA"/>
    <w:rsid w:val="00A721B7"/>
    <w:rsid w:val="00A7233B"/>
    <w:rsid w:val="00A72577"/>
    <w:rsid w:val="00A7266E"/>
    <w:rsid w:val="00A7270C"/>
    <w:rsid w:val="00A72757"/>
    <w:rsid w:val="00A72854"/>
    <w:rsid w:val="00A72B77"/>
    <w:rsid w:val="00A730DC"/>
    <w:rsid w:val="00A733AF"/>
    <w:rsid w:val="00A7341A"/>
    <w:rsid w:val="00A73442"/>
    <w:rsid w:val="00A735CE"/>
    <w:rsid w:val="00A73AC8"/>
    <w:rsid w:val="00A73B5D"/>
    <w:rsid w:val="00A73E01"/>
    <w:rsid w:val="00A74183"/>
    <w:rsid w:val="00A742CE"/>
    <w:rsid w:val="00A742E3"/>
    <w:rsid w:val="00A74484"/>
    <w:rsid w:val="00A747A8"/>
    <w:rsid w:val="00A74BFD"/>
    <w:rsid w:val="00A74BFF"/>
    <w:rsid w:val="00A74DA8"/>
    <w:rsid w:val="00A74DF2"/>
    <w:rsid w:val="00A74F20"/>
    <w:rsid w:val="00A75137"/>
    <w:rsid w:val="00A7520A"/>
    <w:rsid w:val="00A75FE0"/>
    <w:rsid w:val="00A765F3"/>
    <w:rsid w:val="00A766EF"/>
    <w:rsid w:val="00A76A74"/>
    <w:rsid w:val="00A76AA4"/>
    <w:rsid w:val="00A76E1D"/>
    <w:rsid w:val="00A76F84"/>
    <w:rsid w:val="00A772A3"/>
    <w:rsid w:val="00A773EE"/>
    <w:rsid w:val="00A77567"/>
    <w:rsid w:val="00A77972"/>
    <w:rsid w:val="00A7797D"/>
    <w:rsid w:val="00A77A2D"/>
    <w:rsid w:val="00A8004B"/>
    <w:rsid w:val="00A8047C"/>
    <w:rsid w:val="00A806ED"/>
    <w:rsid w:val="00A8084A"/>
    <w:rsid w:val="00A808BC"/>
    <w:rsid w:val="00A80957"/>
    <w:rsid w:val="00A80AA0"/>
    <w:rsid w:val="00A80D39"/>
    <w:rsid w:val="00A80F7E"/>
    <w:rsid w:val="00A8128C"/>
    <w:rsid w:val="00A8130E"/>
    <w:rsid w:val="00A8156E"/>
    <w:rsid w:val="00A81617"/>
    <w:rsid w:val="00A8177D"/>
    <w:rsid w:val="00A81871"/>
    <w:rsid w:val="00A81B4A"/>
    <w:rsid w:val="00A81B61"/>
    <w:rsid w:val="00A81E85"/>
    <w:rsid w:val="00A81FD9"/>
    <w:rsid w:val="00A82035"/>
    <w:rsid w:val="00A827A5"/>
    <w:rsid w:val="00A828B8"/>
    <w:rsid w:val="00A82916"/>
    <w:rsid w:val="00A82974"/>
    <w:rsid w:val="00A82A46"/>
    <w:rsid w:val="00A82EAC"/>
    <w:rsid w:val="00A831A5"/>
    <w:rsid w:val="00A83327"/>
    <w:rsid w:val="00A833BC"/>
    <w:rsid w:val="00A83522"/>
    <w:rsid w:val="00A8361D"/>
    <w:rsid w:val="00A83919"/>
    <w:rsid w:val="00A83D32"/>
    <w:rsid w:val="00A83E61"/>
    <w:rsid w:val="00A83F72"/>
    <w:rsid w:val="00A83FAE"/>
    <w:rsid w:val="00A84006"/>
    <w:rsid w:val="00A84059"/>
    <w:rsid w:val="00A841B2"/>
    <w:rsid w:val="00A84285"/>
    <w:rsid w:val="00A8455D"/>
    <w:rsid w:val="00A8470A"/>
    <w:rsid w:val="00A84941"/>
    <w:rsid w:val="00A84C2B"/>
    <w:rsid w:val="00A84DB7"/>
    <w:rsid w:val="00A84FE5"/>
    <w:rsid w:val="00A85030"/>
    <w:rsid w:val="00A85033"/>
    <w:rsid w:val="00A850AF"/>
    <w:rsid w:val="00A851E0"/>
    <w:rsid w:val="00A8525A"/>
    <w:rsid w:val="00A85402"/>
    <w:rsid w:val="00A85613"/>
    <w:rsid w:val="00A8582F"/>
    <w:rsid w:val="00A8596B"/>
    <w:rsid w:val="00A85973"/>
    <w:rsid w:val="00A85B96"/>
    <w:rsid w:val="00A85D5D"/>
    <w:rsid w:val="00A86070"/>
    <w:rsid w:val="00A86140"/>
    <w:rsid w:val="00A8694E"/>
    <w:rsid w:val="00A86A2D"/>
    <w:rsid w:val="00A872DA"/>
    <w:rsid w:val="00A8734F"/>
    <w:rsid w:val="00A87426"/>
    <w:rsid w:val="00A87873"/>
    <w:rsid w:val="00A87AC8"/>
    <w:rsid w:val="00A87BCB"/>
    <w:rsid w:val="00A87EED"/>
    <w:rsid w:val="00A87F01"/>
    <w:rsid w:val="00A900AF"/>
    <w:rsid w:val="00A90310"/>
    <w:rsid w:val="00A90382"/>
    <w:rsid w:val="00A903A7"/>
    <w:rsid w:val="00A90495"/>
    <w:rsid w:val="00A90496"/>
    <w:rsid w:val="00A904A8"/>
    <w:rsid w:val="00A90828"/>
    <w:rsid w:val="00A908E7"/>
    <w:rsid w:val="00A90928"/>
    <w:rsid w:val="00A90977"/>
    <w:rsid w:val="00A90AE5"/>
    <w:rsid w:val="00A90B93"/>
    <w:rsid w:val="00A90C4C"/>
    <w:rsid w:val="00A90FFF"/>
    <w:rsid w:val="00A91079"/>
    <w:rsid w:val="00A912FC"/>
    <w:rsid w:val="00A91462"/>
    <w:rsid w:val="00A91476"/>
    <w:rsid w:val="00A91820"/>
    <w:rsid w:val="00A91AD2"/>
    <w:rsid w:val="00A91B2A"/>
    <w:rsid w:val="00A91C34"/>
    <w:rsid w:val="00A91DA0"/>
    <w:rsid w:val="00A92097"/>
    <w:rsid w:val="00A921EA"/>
    <w:rsid w:val="00A92209"/>
    <w:rsid w:val="00A9222D"/>
    <w:rsid w:val="00A92300"/>
    <w:rsid w:val="00A92515"/>
    <w:rsid w:val="00A92A82"/>
    <w:rsid w:val="00A92BE2"/>
    <w:rsid w:val="00A92C4B"/>
    <w:rsid w:val="00A92C6E"/>
    <w:rsid w:val="00A92F43"/>
    <w:rsid w:val="00A93271"/>
    <w:rsid w:val="00A9348A"/>
    <w:rsid w:val="00A93519"/>
    <w:rsid w:val="00A93777"/>
    <w:rsid w:val="00A937D4"/>
    <w:rsid w:val="00A93A33"/>
    <w:rsid w:val="00A93BE1"/>
    <w:rsid w:val="00A941D7"/>
    <w:rsid w:val="00A94535"/>
    <w:rsid w:val="00A94726"/>
    <w:rsid w:val="00A94739"/>
    <w:rsid w:val="00A94EA5"/>
    <w:rsid w:val="00A94EF9"/>
    <w:rsid w:val="00A95092"/>
    <w:rsid w:val="00A955A2"/>
    <w:rsid w:val="00A95980"/>
    <w:rsid w:val="00A95A00"/>
    <w:rsid w:val="00A95C5B"/>
    <w:rsid w:val="00A9631D"/>
    <w:rsid w:val="00A9659A"/>
    <w:rsid w:val="00A96639"/>
    <w:rsid w:val="00A96813"/>
    <w:rsid w:val="00A96997"/>
    <w:rsid w:val="00A96AB5"/>
    <w:rsid w:val="00A96F86"/>
    <w:rsid w:val="00A971F0"/>
    <w:rsid w:val="00A97279"/>
    <w:rsid w:val="00A972C4"/>
    <w:rsid w:val="00A97413"/>
    <w:rsid w:val="00A974E0"/>
    <w:rsid w:val="00A975E8"/>
    <w:rsid w:val="00A976F7"/>
    <w:rsid w:val="00A9798B"/>
    <w:rsid w:val="00A97B75"/>
    <w:rsid w:val="00A97DDC"/>
    <w:rsid w:val="00AA00D8"/>
    <w:rsid w:val="00AA0299"/>
    <w:rsid w:val="00AA02D8"/>
    <w:rsid w:val="00AA0332"/>
    <w:rsid w:val="00AA04FB"/>
    <w:rsid w:val="00AA06AB"/>
    <w:rsid w:val="00AA08AD"/>
    <w:rsid w:val="00AA098F"/>
    <w:rsid w:val="00AA0C0F"/>
    <w:rsid w:val="00AA0FEA"/>
    <w:rsid w:val="00AA108A"/>
    <w:rsid w:val="00AA1807"/>
    <w:rsid w:val="00AA180D"/>
    <w:rsid w:val="00AA1829"/>
    <w:rsid w:val="00AA1981"/>
    <w:rsid w:val="00AA1AFB"/>
    <w:rsid w:val="00AA2014"/>
    <w:rsid w:val="00AA2020"/>
    <w:rsid w:val="00AA2071"/>
    <w:rsid w:val="00AA20D1"/>
    <w:rsid w:val="00AA20D2"/>
    <w:rsid w:val="00AA2207"/>
    <w:rsid w:val="00AA23C2"/>
    <w:rsid w:val="00AA242F"/>
    <w:rsid w:val="00AA24B1"/>
    <w:rsid w:val="00AA2628"/>
    <w:rsid w:val="00AA2AA6"/>
    <w:rsid w:val="00AA2E1B"/>
    <w:rsid w:val="00AA2FC6"/>
    <w:rsid w:val="00AA3299"/>
    <w:rsid w:val="00AA344B"/>
    <w:rsid w:val="00AA35B1"/>
    <w:rsid w:val="00AA3776"/>
    <w:rsid w:val="00AA398D"/>
    <w:rsid w:val="00AA3DE4"/>
    <w:rsid w:val="00AA3E93"/>
    <w:rsid w:val="00AA3F5D"/>
    <w:rsid w:val="00AA407C"/>
    <w:rsid w:val="00AA4240"/>
    <w:rsid w:val="00AA4335"/>
    <w:rsid w:val="00AA4347"/>
    <w:rsid w:val="00AA4447"/>
    <w:rsid w:val="00AA46DA"/>
    <w:rsid w:val="00AA4B58"/>
    <w:rsid w:val="00AA4C72"/>
    <w:rsid w:val="00AA4D60"/>
    <w:rsid w:val="00AA4FFC"/>
    <w:rsid w:val="00AA51CB"/>
    <w:rsid w:val="00AA5301"/>
    <w:rsid w:val="00AA534D"/>
    <w:rsid w:val="00AA5533"/>
    <w:rsid w:val="00AA5AAE"/>
    <w:rsid w:val="00AA5BB0"/>
    <w:rsid w:val="00AA5D55"/>
    <w:rsid w:val="00AA5ED5"/>
    <w:rsid w:val="00AA6146"/>
    <w:rsid w:val="00AA652B"/>
    <w:rsid w:val="00AA670E"/>
    <w:rsid w:val="00AA6E02"/>
    <w:rsid w:val="00AA7047"/>
    <w:rsid w:val="00AA732E"/>
    <w:rsid w:val="00AA7480"/>
    <w:rsid w:val="00AA74D8"/>
    <w:rsid w:val="00AA7508"/>
    <w:rsid w:val="00AA7518"/>
    <w:rsid w:val="00AA768E"/>
    <w:rsid w:val="00AA78CD"/>
    <w:rsid w:val="00AA78E3"/>
    <w:rsid w:val="00AA7D28"/>
    <w:rsid w:val="00AA7FA2"/>
    <w:rsid w:val="00AB020A"/>
    <w:rsid w:val="00AB0236"/>
    <w:rsid w:val="00AB0344"/>
    <w:rsid w:val="00AB0799"/>
    <w:rsid w:val="00AB07F1"/>
    <w:rsid w:val="00AB0AF8"/>
    <w:rsid w:val="00AB0BFE"/>
    <w:rsid w:val="00AB0C6E"/>
    <w:rsid w:val="00AB0D5B"/>
    <w:rsid w:val="00AB0E1C"/>
    <w:rsid w:val="00AB0F15"/>
    <w:rsid w:val="00AB0FBD"/>
    <w:rsid w:val="00AB1378"/>
    <w:rsid w:val="00AB1463"/>
    <w:rsid w:val="00AB1551"/>
    <w:rsid w:val="00AB1570"/>
    <w:rsid w:val="00AB18C5"/>
    <w:rsid w:val="00AB1939"/>
    <w:rsid w:val="00AB1A54"/>
    <w:rsid w:val="00AB1C5B"/>
    <w:rsid w:val="00AB1D37"/>
    <w:rsid w:val="00AB2076"/>
    <w:rsid w:val="00AB233A"/>
    <w:rsid w:val="00AB2460"/>
    <w:rsid w:val="00AB2556"/>
    <w:rsid w:val="00AB2691"/>
    <w:rsid w:val="00AB2AC5"/>
    <w:rsid w:val="00AB2B08"/>
    <w:rsid w:val="00AB2BD5"/>
    <w:rsid w:val="00AB2D46"/>
    <w:rsid w:val="00AB2F33"/>
    <w:rsid w:val="00AB314C"/>
    <w:rsid w:val="00AB31D3"/>
    <w:rsid w:val="00AB3231"/>
    <w:rsid w:val="00AB33A3"/>
    <w:rsid w:val="00AB3547"/>
    <w:rsid w:val="00AB35EC"/>
    <w:rsid w:val="00AB3688"/>
    <w:rsid w:val="00AB380C"/>
    <w:rsid w:val="00AB3DFC"/>
    <w:rsid w:val="00AB41F0"/>
    <w:rsid w:val="00AB4313"/>
    <w:rsid w:val="00AB444D"/>
    <w:rsid w:val="00AB4457"/>
    <w:rsid w:val="00AB4666"/>
    <w:rsid w:val="00AB476D"/>
    <w:rsid w:val="00AB4819"/>
    <w:rsid w:val="00AB48F4"/>
    <w:rsid w:val="00AB4922"/>
    <w:rsid w:val="00AB49C2"/>
    <w:rsid w:val="00AB4BC0"/>
    <w:rsid w:val="00AB500F"/>
    <w:rsid w:val="00AB5147"/>
    <w:rsid w:val="00AB5351"/>
    <w:rsid w:val="00AB5406"/>
    <w:rsid w:val="00AB55B3"/>
    <w:rsid w:val="00AB5849"/>
    <w:rsid w:val="00AB5913"/>
    <w:rsid w:val="00AB59D0"/>
    <w:rsid w:val="00AB5FD2"/>
    <w:rsid w:val="00AB5FDE"/>
    <w:rsid w:val="00AB5FEA"/>
    <w:rsid w:val="00AB6091"/>
    <w:rsid w:val="00AB621E"/>
    <w:rsid w:val="00AB635B"/>
    <w:rsid w:val="00AB68AD"/>
    <w:rsid w:val="00AB690B"/>
    <w:rsid w:val="00AB6971"/>
    <w:rsid w:val="00AB6A4F"/>
    <w:rsid w:val="00AB6EBD"/>
    <w:rsid w:val="00AB70CC"/>
    <w:rsid w:val="00AB7259"/>
    <w:rsid w:val="00AB738D"/>
    <w:rsid w:val="00AB7542"/>
    <w:rsid w:val="00AB75D2"/>
    <w:rsid w:val="00AB779D"/>
    <w:rsid w:val="00AB7851"/>
    <w:rsid w:val="00AB7BA1"/>
    <w:rsid w:val="00AB7DB2"/>
    <w:rsid w:val="00AC00C3"/>
    <w:rsid w:val="00AC012A"/>
    <w:rsid w:val="00AC014C"/>
    <w:rsid w:val="00AC01D9"/>
    <w:rsid w:val="00AC03C3"/>
    <w:rsid w:val="00AC0541"/>
    <w:rsid w:val="00AC0614"/>
    <w:rsid w:val="00AC06CE"/>
    <w:rsid w:val="00AC0728"/>
    <w:rsid w:val="00AC0942"/>
    <w:rsid w:val="00AC0990"/>
    <w:rsid w:val="00AC0EA8"/>
    <w:rsid w:val="00AC1019"/>
    <w:rsid w:val="00AC1145"/>
    <w:rsid w:val="00AC1183"/>
    <w:rsid w:val="00AC11D0"/>
    <w:rsid w:val="00AC11FB"/>
    <w:rsid w:val="00AC1D36"/>
    <w:rsid w:val="00AC1EA4"/>
    <w:rsid w:val="00AC2218"/>
    <w:rsid w:val="00AC23CC"/>
    <w:rsid w:val="00AC255F"/>
    <w:rsid w:val="00AC269F"/>
    <w:rsid w:val="00AC27E9"/>
    <w:rsid w:val="00AC28F7"/>
    <w:rsid w:val="00AC292B"/>
    <w:rsid w:val="00AC295F"/>
    <w:rsid w:val="00AC2ACF"/>
    <w:rsid w:val="00AC2E0C"/>
    <w:rsid w:val="00AC3075"/>
    <w:rsid w:val="00AC31F6"/>
    <w:rsid w:val="00AC3411"/>
    <w:rsid w:val="00AC355B"/>
    <w:rsid w:val="00AC37E2"/>
    <w:rsid w:val="00AC3860"/>
    <w:rsid w:val="00AC3A2F"/>
    <w:rsid w:val="00AC3BED"/>
    <w:rsid w:val="00AC3CB2"/>
    <w:rsid w:val="00AC3CF6"/>
    <w:rsid w:val="00AC4061"/>
    <w:rsid w:val="00AC41AE"/>
    <w:rsid w:val="00AC42DF"/>
    <w:rsid w:val="00AC44A9"/>
    <w:rsid w:val="00AC482A"/>
    <w:rsid w:val="00AC49DA"/>
    <w:rsid w:val="00AC4DDD"/>
    <w:rsid w:val="00AC4E73"/>
    <w:rsid w:val="00AC50C6"/>
    <w:rsid w:val="00AC50F4"/>
    <w:rsid w:val="00AC510D"/>
    <w:rsid w:val="00AC5113"/>
    <w:rsid w:val="00AC5278"/>
    <w:rsid w:val="00AC52DD"/>
    <w:rsid w:val="00AC54CB"/>
    <w:rsid w:val="00AC566D"/>
    <w:rsid w:val="00AC5766"/>
    <w:rsid w:val="00AC578E"/>
    <w:rsid w:val="00AC58FC"/>
    <w:rsid w:val="00AC5C38"/>
    <w:rsid w:val="00AC5CFC"/>
    <w:rsid w:val="00AC5F2B"/>
    <w:rsid w:val="00AC5FCA"/>
    <w:rsid w:val="00AC608C"/>
    <w:rsid w:val="00AC60D6"/>
    <w:rsid w:val="00AC6465"/>
    <w:rsid w:val="00AC65C4"/>
    <w:rsid w:val="00AC6D14"/>
    <w:rsid w:val="00AC6D20"/>
    <w:rsid w:val="00AC6D52"/>
    <w:rsid w:val="00AC6E60"/>
    <w:rsid w:val="00AC7009"/>
    <w:rsid w:val="00AC7051"/>
    <w:rsid w:val="00AC70B0"/>
    <w:rsid w:val="00AC7186"/>
    <w:rsid w:val="00AC724B"/>
    <w:rsid w:val="00AC7278"/>
    <w:rsid w:val="00AC72CC"/>
    <w:rsid w:val="00AC7463"/>
    <w:rsid w:val="00AC751A"/>
    <w:rsid w:val="00AC7535"/>
    <w:rsid w:val="00AC7820"/>
    <w:rsid w:val="00AC7A23"/>
    <w:rsid w:val="00AC7DA0"/>
    <w:rsid w:val="00AC7F79"/>
    <w:rsid w:val="00AD0144"/>
    <w:rsid w:val="00AD01CE"/>
    <w:rsid w:val="00AD07C0"/>
    <w:rsid w:val="00AD0D84"/>
    <w:rsid w:val="00AD0DF7"/>
    <w:rsid w:val="00AD0EDD"/>
    <w:rsid w:val="00AD0F78"/>
    <w:rsid w:val="00AD0F80"/>
    <w:rsid w:val="00AD11EA"/>
    <w:rsid w:val="00AD12FC"/>
    <w:rsid w:val="00AD14E7"/>
    <w:rsid w:val="00AD14EF"/>
    <w:rsid w:val="00AD159C"/>
    <w:rsid w:val="00AD15C7"/>
    <w:rsid w:val="00AD186C"/>
    <w:rsid w:val="00AD19D1"/>
    <w:rsid w:val="00AD1AAC"/>
    <w:rsid w:val="00AD1D6B"/>
    <w:rsid w:val="00AD244F"/>
    <w:rsid w:val="00AD25E7"/>
    <w:rsid w:val="00AD270A"/>
    <w:rsid w:val="00AD2BCD"/>
    <w:rsid w:val="00AD2D87"/>
    <w:rsid w:val="00AD2D9D"/>
    <w:rsid w:val="00AD3298"/>
    <w:rsid w:val="00AD3299"/>
    <w:rsid w:val="00AD3860"/>
    <w:rsid w:val="00AD40C6"/>
    <w:rsid w:val="00AD4368"/>
    <w:rsid w:val="00AD478E"/>
    <w:rsid w:val="00AD4980"/>
    <w:rsid w:val="00AD49F2"/>
    <w:rsid w:val="00AD4AA9"/>
    <w:rsid w:val="00AD4B8E"/>
    <w:rsid w:val="00AD4C1B"/>
    <w:rsid w:val="00AD4C32"/>
    <w:rsid w:val="00AD4CC9"/>
    <w:rsid w:val="00AD50FF"/>
    <w:rsid w:val="00AD512E"/>
    <w:rsid w:val="00AD5167"/>
    <w:rsid w:val="00AD51D7"/>
    <w:rsid w:val="00AD5298"/>
    <w:rsid w:val="00AD5415"/>
    <w:rsid w:val="00AD5761"/>
    <w:rsid w:val="00AD59DB"/>
    <w:rsid w:val="00AD5CCD"/>
    <w:rsid w:val="00AD6144"/>
    <w:rsid w:val="00AD6561"/>
    <w:rsid w:val="00AD673B"/>
    <w:rsid w:val="00AD6741"/>
    <w:rsid w:val="00AD6871"/>
    <w:rsid w:val="00AD6AD2"/>
    <w:rsid w:val="00AD6C7D"/>
    <w:rsid w:val="00AD6CE9"/>
    <w:rsid w:val="00AD6D19"/>
    <w:rsid w:val="00AD6EB8"/>
    <w:rsid w:val="00AD6EC0"/>
    <w:rsid w:val="00AD747E"/>
    <w:rsid w:val="00AD78E2"/>
    <w:rsid w:val="00AD7B13"/>
    <w:rsid w:val="00AD7C72"/>
    <w:rsid w:val="00AD7E55"/>
    <w:rsid w:val="00AD7FE5"/>
    <w:rsid w:val="00AE02AB"/>
    <w:rsid w:val="00AE02EA"/>
    <w:rsid w:val="00AE03AA"/>
    <w:rsid w:val="00AE04A7"/>
    <w:rsid w:val="00AE059C"/>
    <w:rsid w:val="00AE0669"/>
    <w:rsid w:val="00AE071D"/>
    <w:rsid w:val="00AE0734"/>
    <w:rsid w:val="00AE076A"/>
    <w:rsid w:val="00AE07AE"/>
    <w:rsid w:val="00AE08F7"/>
    <w:rsid w:val="00AE090F"/>
    <w:rsid w:val="00AE0B2E"/>
    <w:rsid w:val="00AE0C94"/>
    <w:rsid w:val="00AE0DDC"/>
    <w:rsid w:val="00AE16A7"/>
    <w:rsid w:val="00AE1CDE"/>
    <w:rsid w:val="00AE1EEB"/>
    <w:rsid w:val="00AE2423"/>
    <w:rsid w:val="00AE24AF"/>
    <w:rsid w:val="00AE25E8"/>
    <w:rsid w:val="00AE27A4"/>
    <w:rsid w:val="00AE2CEF"/>
    <w:rsid w:val="00AE2D5E"/>
    <w:rsid w:val="00AE2E00"/>
    <w:rsid w:val="00AE2ECA"/>
    <w:rsid w:val="00AE2F57"/>
    <w:rsid w:val="00AE32C3"/>
    <w:rsid w:val="00AE33E6"/>
    <w:rsid w:val="00AE35F8"/>
    <w:rsid w:val="00AE378B"/>
    <w:rsid w:val="00AE3799"/>
    <w:rsid w:val="00AE39CC"/>
    <w:rsid w:val="00AE39F4"/>
    <w:rsid w:val="00AE3A77"/>
    <w:rsid w:val="00AE3ADC"/>
    <w:rsid w:val="00AE3B11"/>
    <w:rsid w:val="00AE3B6B"/>
    <w:rsid w:val="00AE3BB5"/>
    <w:rsid w:val="00AE3C76"/>
    <w:rsid w:val="00AE3CFC"/>
    <w:rsid w:val="00AE3DA7"/>
    <w:rsid w:val="00AE3DD8"/>
    <w:rsid w:val="00AE3DEE"/>
    <w:rsid w:val="00AE3F25"/>
    <w:rsid w:val="00AE415D"/>
    <w:rsid w:val="00AE4173"/>
    <w:rsid w:val="00AE4504"/>
    <w:rsid w:val="00AE4568"/>
    <w:rsid w:val="00AE4808"/>
    <w:rsid w:val="00AE4AAD"/>
    <w:rsid w:val="00AE4AD0"/>
    <w:rsid w:val="00AE4DC1"/>
    <w:rsid w:val="00AE4DE4"/>
    <w:rsid w:val="00AE5238"/>
    <w:rsid w:val="00AE526E"/>
    <w:rsid w:val="00AE547F"/>
    <w:rsid w:val="00AE59D0"/>
    <w:rsid w:val="00AE5DEC"/>
    <w:rsid w:val="00AE5E26"/>
    <w:rsid w:val="00AE5E5B"/>
    <w:rsid w:val="00AE603C"/>
    <w:rsid w:val="00AE612B"/>
    <w:rsid w:val="00AE6502"/>
    <w:rsid w:val="00AE680F"/>
    <w:rsid w:val="00AE6B57"/>
    <w:rsid w:val="00AE6DC8"/>
    <w:rsid w:val="00AE6F3E"/>
    <w:rsid w:val="00AE73CF"/>
    <w:rsid w:val="00AE74AC"/>
    <w:rsid w:val="00AE7706"/>
    <w:rsid w:val="00AE771A"/>
    <w:rsid w:val="00AE7832"/>
    <w:rsid w:val="00AE78A3"/>
    <w:rsid w:val="00AE78D5"/>
    <w:rsid w:val="00AE79C5"/>
    <w:rsid w:val="00AE7A19"/>
    <w:rsid w:val="00AE7D25"/>
    <w:rsid w:val="00AE7D62"/>
    <w:rsid w:val="00AF0021"/>
    <w:rsid w:val="00AF0185"/>
    <w:rsid w:val="00AF01D1"/>
    <w:rsid w:val="00AF03E7"/>
    <w:rsid w:val="00AF03ED"/>
    <w:rsid w:val="00AF04E7"/>
    <w:rsid w:val="00AF067E"/>
    <w:rsid w:val="00AF06FC"/>
    <w:rsid w:val="00AF082F"/>
    <w:rsid w:val="00AF0B01"/>
    <w:rsid w:val="00AF0D96"/>
    <w:rsid w:val="00AF0EB3"/>
    <w:rsid w:val="00AF0F47"/>
    <w:rsid w:val="00AF0FBE"/>
    <w:rsid w:val="00AF1380"/>
    <w:rsid w:val="00AF14F2"/>
    <w:rsid w:val="00AF1553"/>
    <w:rsid w:val="00AF162E"/>
    <w:rsid w:val="00AF1814"/>
    <w:rsid w:val="00AF1911"/>
    <w:rsid w:val="00AF1C13"/>
    <w:rsid w:val="00AF1C4A"/>
    <w:rsid w:val="00AF1CBE"/>
    <w:rsid w:val="00AF1DC4"/>
    <w:rsid w:val="00AF1FA4"/>
    <w:rsid w:val="00AF20B8"/>
    <w:rsid w:val="00AF20F0"/>
    <w:rsid w:val="00AF2647"/>
    <w:rsid w:val="00AF26DC"/>
    <w:rsid w:val="00AF27DC"/>
    <w:rsid w:val="00AF283E"/>
    <w:rsid w:val="00AF2925"/>
    <w:rsid w:val="00AF29C0"/>
    <w:rsid w:val="00AF2A7A"/>
    <w:rsid w:val="00AF2B0E"/>
    <w:rsid w:val="00AF2D0C"/>
    <w:rsid w:val="00AF2F6B"/>
    <w:rsid w:val="00AF31CD"/>
    <w:rsid w:val="00AF32D1"/>
    <w:rsid w:val="00AF3580"/>
    <w:rsid w:val="00AF362B"/>
    <w:rsid w:val="00AF3800"/>
    <w:rsid w:val="00AF38BD"/>
    <w:rsid w:val="00AF3A6F"/>
    <w:rsid w:val="00AF3A8E"/>
    <w:rsid w:val="00AF3CCC"/>
    <w:rsid w:val="00AF3EE6"/>
    <w:rsid w:val="00AF3FD0"/>
    <w:rsid w:val="00AF3FDF"/>
    <w:rsid w:val="00AF41FC"/>
    <w:rsid w:val="00AF4474"/>
    <w:rsid w:val="00AF473F"/>
    <w:rsid w:val="00AF4ABD"/>
    <w:rsid w:val="00AF4C39"/>
    <w:rsid w:val="00AF4CC9"/>
    <w:rsid w:val="00AF4E08"/>
    <w:rsid w:val="00AF4EB6"/>
    <w:rsid w:val="00AF52E9"/>
    <w:rsid w:val="00AF53CE"/>
    <w:rsid w:val="00AF56A6"/>
    <w:rsid w:val="00AF5F47"/>
    <w:rsid w:val="00AF5FB9"/>
    <w:rsid w:val="00AF6570"/>
    <w:rsid w:val="00AF67D2"/>
    <w:rsid w:val="00AF6851"/>
    <w:rsid w:val="00AF68B8"/>
    <w:rsid w:val="00AF69C6"/>
    <w:rsid w:val="00AF69E0"/>
    <w:rsid w:val="00AF6A64"/>
    <w:rsid w:val="00AF6CD9"/>
    <w:rsid w:val="00AF6E6E"/>
    <w:rsid w:val="00AF702B"/>
    <w:rsid w:val="00AF7142"/>
    <w:rsid w:val="00AF7485"/>
    <w:rsid w:val="00AF7516"/>
    <w:rsid w:val="00AF756C"/>
    <w:rsid w:val="00AF7625"/>
    <w:rsid w:val="00AF7A9A"/>
    <w:rsid w:val="00AF7F59"/>
    <w:rsid w:val="00B00091"/>
    <w:rsid w:val="00B00435"/>
    <w:rsid w:val="00B006D1"/>
    <w:rsid w:val="00B008BC"/>
    <w:rsid w:val="00B00B9C"/>
    <w:rsid w:val="00B00FA4"/>
    <w:rsid w:val="00B0126A"/>
    <w:rsid w:val="00B014EC"/>
    <w:rsid w:val="00B01564"/>
    <w:rsid w:val="00B01650"/>
    <w:rsid w:val="00B017E0"/>
    <w:rsid w:val="00B01E85"/>
    <w:rsid w:val="00B01FCF"/>
    <w:rsid w:val="00B0214A"/>
    <w:rsid w:val="00B02243"/>
    <w:rsid w:val="00B022E7"/>
    <w:rsid w:val="00B02460"/>
    <w:rsid w:val="00B026E4"/>
    <w:rsid w:val="00B0272E"/>
    <w:rsid w:val="00B029B1"/>
    <w:rsid w:val="00B02F49"/>
    <w:rsid w:val="00B034A8"/>
    <w:rsid w:val="00B034C1"/>
    <w:rsid w:val="00B03510"/>
    <w:rsid w:val="00B035D2"/>
    <w:rsid w:val="00B03649"/>
    <w:rsid w:val="00B03EB0"/>
    <w:rsid w:val="00B03F63"/>
    <w:rsid w:val="00B0452C"/>
    <w:rsid w:val="00B0460F"/>
    <w:rsid w:val="00B048A7"/>
    <w:rsid w:val="00B04982"/>
    <w:rsid w:val="00B049DC"/>
    <w:rsid w:val="00B04BCC"/>
    <w:rsid w:val="00B04BDC"/>
    <w:rsid w:val="00B04C9A"/>
    <w:rsid w:val="00B04CCA"/>
    <w:rsid w:val="00B04CD0"/>
    <w:rsid w:val="00B04E56"/>
    <w:rsid w:val="00B04F21"/>
    <w:rsid w:val="00B04F46"/>
    <w:rsid w:val="00B04FC7"/>
    <w:rsid w:val="00B0505F"/>
    <w:rsid w:val="00B0510D"/>
    <w:rsid w:val="00B05141"/>
    <w:rsid w:val="00B055F0"/>
    <w:rsid w:val="00B05AB3"/>
    <w:rsid w:val="00B05C38"/>
    <w:rsid w:val="00B05C7F"/>
    <w:rsid w:val="00B05E78"/>
    <w:rsid w:val="00B05FBE"/>
    <w:rsid w:val="00B06098"/>
    <w:rsid w:val="00B061C5"/>
    <w:rsid w:val="00B061EF"/>
    <w:rsid w:val="00B064BA"/>
    <w:rsid w:val="00B064CF"/>
    <w:rsid w:val="00B06561"/>
    <w:rsid w:val="00B06752"/>
    <w:rsid w:val="00B06778"/>
    <w:rsid w:val="00B06938"/>
    <w:rsid w:val="00B06A46"/>
    <w:rsid w:val="00B06B2A"/>
    <w:rsid w:val="00B06B3D"/>
    <w:rsid w:val="00B06C94"/>
    <w:rsid w:val="00B06EA3"/>
    <w:rsid w:val="00B06F99"/>
    <w:rsid w:val="00B0713A"/>
    <w:rsid w:val="00B073D8"/>
    <w:rsid w:val="00B076C6"/>
    <w:rsid w:val="00B078AC"/>
    <w:rsid w:val="00B07D01"/>
    <w:rsid w:val="00B07F01"/>
    <w:rsid w:val="00B1000C"/>
    <w:rsid w:val="00B101AF"/>
    <w:rsid w:val="00B101EF"/>
    <w:rsid w:val="00B106B4"/>
    <w:rsid w:val="00B1097D"/>
    <w:rsid w:val="00B1098F"/>
    <w:rsid w:val="00B10D4C"/>
    <w:rsid w:val="00B10E02"/>
    <w:rsid w:val="00B10F01"/>
    <w:rsid w:val="00B11036"/>
    <w:rsid w:val="00B110C8"/>
    <w:rsid w:val="00B110F5"/>
    <w:rsid w:val="00B111F0"/>
    <w:rsid w:val="00B11262"/>
    <w:rsid w:val="00B1129A"/>
    <w:rsid w:val="00B112EA"/>
    <w:rsid w:val="00B1165F"/>
    <w:rsid w:val="00B11F15"/>
    <w:rsid w:val="00B12120"/>
    <w:rsid w:val="00B1216A"/>
    <w:rsid w:val="00B12293"/>
    <w:rsid w:val="00B12296"/>
    <w:rsid w:val="00B12343"/>
    <w:rsid w:val="00B1234A"/>
    <w:rsid w:val="00B128DB"/>
    <w:rsid w:val="00B12B66"/>
    <w:rsid w:val="00B12D58"/>
    <w:rsid w:val="00B12E88"/>
    <w:rsid w:val="00B134C5"/>
    <w:rsid w:val="00B13555"/>
    <w:rsid w:val="00B13770"/>
    <w:rsid w:val="00B13784"/>
    <w:rsid w:val="00B137F8"/>
    <w:rsid w:val="00B1390A"/>
    <w:rsid w:val="00B13FB5"/>
    <w:rsid w:val="00B143CB"/>
    <w:rsid w:val="00B1457B"/>
    <w:rsid w:val="00B146BE"/>
    <w:rsid w:val="00B14778"/>
    <w:rsid w:val="00B14851"/>
    <w:rsid w:val="00B14D21"/>
    <w:rsid w:val="00B14ECA"/>
    <w:rsid w:val="00B14F8B"/>
    <w:rsid w:val="00B15057"/>
    <w:rsid w:val="00B15179"/>
    <w:rsid w:val="00B15227"/>
    <w:rsid w:val="00B15443"/>
    <w:rsid w:val="00B1566C"/>
    <w:rsid w:val="00B156BC"/>
    <w:rsid w:val="00B1590A"/>
    <w:rsid w:val="00B15D0F"/>
    <w:rsid w:val="00B16150"/>
    <w:rsid w:val="00B161E6"/>
    <w:rsid w:val="00B1620E"/>
    <w:rsid w:val="00B16240"/>
    <w:rsid w:val="00B162A5"/>
    <w:rsid w:val="00B169EB"/>
    <w:rsid w:val="00B16A4D"/>
    <w:rsid w:val="00B16D11"/>
    <w:rsid w:val="00B16D1F"/>
    <w:rsid w:val="00B170E3"/>
    <w:rsid w:val="00B17206"/>
    <w:rsid w:val="00B17317"/>
    <w:rsid w:val="00B17481"/>
    <w:rsid w:val="00B1778E"/>
    <w:rsid w:val="00B17912"/>
    <w:rsid w:val="00B17BDE"/>
    <w:rsid w:val="00B17F3E"/>
    <w:rsid w:val="00B17F57"/>
    <w:rsid w:val="00B20160"/>
    <w:rsid w:val="00B20307"/>
    <w:rsid w:val="00B20482"/>
    <w:rsid w:val="00B20857"/>
    <w:rsid w:val="00B208B6"/>
    <w:rsid w:val="00B20D2F"/>
    <w:rsid w:val="00B20DCA"/>
    <w:rsid w:val="00B20DD8"/>
    <w:rsid w:val="00B20E6B"/>
    <w:rsid w:val="00B20E94"/>
    <w:rsid w:val="00B2103E"/>
    <w:rsid w:val="00B21184"/>
    <w:rsid w:val="00B214E9"/>
    <w:rsid w:val="00B2155D"/>
    <w:rsid w:val="00B216DD"/>
    <w:rsid w:val="00B218EA"/>
    <w:rsid w:val="00B21D01"/>
    <w:rsid w:val="00B220B4"/>
    <w:rsid w:val="00B222FD"/>
    <w:rsid w:val="00B224A8"/>
    <w:rsid w:val="00B22654"/>
    <w:rsid w:val="00B22A2E"/>
    <w:rsid w:val="00B23305"/>
    <w:rsid w:val="00B23514"/>
    <w:rsid w:val="00B23539"/>
    <w:rsid w:val="00B23838"/>
    <w:rsid w:val="00B23BA0"/>
    <w:rsid w:val="00B23C04"/>
    <w:rsid w:val="00B23F7A"/>
    <w:rsid w:val="00B2412B"/>
    <w:rsid w:val="00B24203"/>
    <w:rsid w:val="00B246B2"/>
    <w:rsid w:val="00B24733"/>
    <w:rsid w:val="00B24928"/>
    <w:rsid w:val="00B24B74"/>
    <w:rsid w:val="00B24BD6"/>
    <w:rsid w:val="00B24C1E"/>
    <w:rsid w:val="00B24C66"/>
    <w:rsid w:val="00B254DF"/>
    <w:rsid w:val="00B255CC"/>
    <w:rsid w:val="00B25633"/>
    <w:rsid w:val="00B25693"/>
    <w:rsid w:val="00B259B6"/>
    <w:rsid w:val="00B25C83"/>
    <w:rsid w:val="00B25CAB"/>
    <w:rsid w:val="00B25ED1"/>
    <w:rsid w:val="00B25ED6"/>
    <w:rsid w:val="00B26071"/>
    <w:rsid w:val="00B2608B"/>
    <w:rsid w:val="00B261F4"/>
    <w:rsid w:val="00B2623A"/>
    <w:rsid w:val="00B2629F"/>
    <w:rsid w:val="00B26499"/>
    <w:rsid w:val="00B264F9"/>
    <w:rsid w:val="00B2659F"/>
    <w:rsid w:val="00B26650"/>
    <w:rsid w:val="00B26BB8"/>
    <w:rsid w:val="00B26C0D"/>
    <w:rsid w:val="00B26CB8"/>
    <w:rsid w:val="00B26DC2"/>
    <w:rsid w:val="00B272E2"/>
    <w:rsid w:val="00B27334"/>
    <w:rsid w:val="00B274BE"/>
    <w:rsid w:val="00B277AC"/>
    <w:rsid w:val="00B27815"/>
    <w:rsid w:val="00B27858"/>
    <w:rsid w:val="00B278F5"/>
    <w:rsid w:val="00B27A92"/>
    <w:rsid w:val="00B30054"/>
    <w:rsid w:val="00B30353"/>
    <w:rsid w:val="00B3061A"/>
    <w:rsid w:val="00B3066E"/>
    <w:rsid w:val="00B309BB"/>
    <w:rsid w:val="00B30AB5"/>
    <w:rsid w:val="00B30E9D"/>
    <w:rsid w:val="00B30FD7"/>
    <w:rsid w:val="00B3110A"/>
    <w:rsid w:val="00B3162D"/>
    <w:rsid w:val="00B316D3"/>
    <w:rsid w:val="00B31702"/>
    <w:rsid w:val="00B31976"/>
    <w:rsid w:val="00B31BBD"/>
    <w:rsid w:val="00B31BDA"/>
    <w:rsid w:val="00B31D58"/>
    <w:rsid w:val="00B32066"/>
    <w:rsid w:val="00B320AB"/>
    <w:rsid w:val="00B324BE"/>
    <w:rsid w:val="00B32554"/>
    <w:rsid w:val="00B326A4"/>
    <w:rsid w:val="00B32711"/>
    <w:rsid w:val="00B3276C"/>
    <w:rsid w:val="00B32D11"/>
    <w:rsid w:val="00B32DB6"/>
    <w:rsid w:val="00B32DC9"/>
    <w:rsid w:val="00B32E1D"/>
    <w:rsid w:val="00B32F07"/>
    <w:rsid w:val="00B32F20"/>
    <w:rsid w:val="00B335C5"/>
    <w:rsid w:val="00B335CD"/>
    <w:rsid w:val="00B33749"/>
    <w:rsid w:val="00B33813"/>
    <w:rsid w:val="00B33A32"/>
    <w:rsid w:val="00B33A9C"/>
    <w:rsid w:val="00B33C0D"/>
    <w:rsid w:val="00B33FB7"/>
    <w:rsid w:val="00B34032"/>
    <w:rsid w:val="00B342C3"/>
    <w:rsid w:val="00B34348"/>
    <w:rsid w:val="00B34421"/>
    <w:rsid w:val="00B344BC"/>
    <w:rsid w:val="00B34512"/>
    <w:rsid w:val="00B34533"/>
    <w:rsid w:val="00B34646"/>
    <w:rsid w:val="00B34967"/>
    <w:rsid w:val="00B34A48"/>
    <w:rsid w:val="00B34AA4"/>
    <w:rsid w:val="00B34C54"/>
    <w:rsid w:val="00B34DC9"/>
    <w:rsid w:val="00B35135"/>
    <w:rsid w:val="00B3522B"/>
    <w:rsid w:val="00B35262"/>
    <w:rsid w:val="00B352EA"/>
    <w:rsid w:val="00B35380"/>
    <w:rsid w:val="00B35441"/>
    <w:rsid w:val="00B354CA"/>
    <w:rsid w:val="00B359D3"/>
    <w:rsid w:val="00B35A37"/>
    <w:rsid w:val="00B35A61"/>
    <w:rsid w:val="00B35B25"/>
    <w:rsid w:val="00B35B83"/>
    <w:rsid w:val="00B35DEB"/>
    <w:rsid w:val="00B35EB0"/>
    <w:rsid w:val="00B35ECE"/>
    <w:rsid w:val="00B360B7"/>
    <w:rsid w:val="00B36137"/>
    <w:rsid w:val="00B362BE"/>
    <w:rsid w:val="00B362C7"/>
    <w:rsid w:val="00B362E9"/>
    <w:rsid w:val="00B363A7"/>
    <w:rsid w:val="00B3670B"/>
    <w:rsid w:val="00B36754"/>
    <w:rsid w:val="00B3681D"/>
    <w:rsid w:val="00B36AD7"/>
    <w:rsid w:val="00B36CE8"/>
    <w:rsid w:val="00B37242"/>
    <w:rsid w:val="00B3731E"/>
    <w:rsid w:val="00B3752A"/>
    <w:rsid w:val="00B37566"/>
    <w:rsid w:val="00B3757D"/>
    <w:rsid w:val="00B377B7"/>
    <w:rsid w:val="00B378A4"/>
    <w:rsid w:val="00B37B2B"/>
    <w:rsid w:val="00B37ED1"/>
    <w:rsid w:val="00B4032F"/>
    <w:rsid w:val="00B40499"/>
    <w:rsid w:val="00B4091F"/>
    <w:rsid w:val="00B40952"/>
    <w:rsid w:val="00B40B0F"/>
    <w:rsid w:val="00B40BA0"/>
    <w:rsid w:val="00B40BC7"/>
    <w:rsid w:val="00B40EFC"/>
    <w:rsid w:val="00B4103E"/>
    <w:rsid w:val="00B4118A"/>
    <w:rsid w:val="00B41570"/>
    <w:rsid w:val="00B4163E"/>
    <w:rsid w:val="00B418B2"/>
    <w:rsid w:val="00B41978"/>
    <w:rsid w:val="00B419F3"/>
    <w:rsid w:val="00B41AB0"/>
    <w:rsid w:val="00B41BC5"/>
    <w:rsid w:val="00B420C3"/>
    <w:rsid w:val="00B42226"/>
    <w:rsid w:val="00B422CD"/>
    <w:rsid w:val="00B4247E"/>
    <w:rsid w:val="00B42511"/>
    <w:rsid w:val="00B4254D"/>
    <w:rsid w:val="00B42665"/>
    <w:rsid w:val="00B42C10"/>
    <w:rsid w:val="00B430CC"/>
    <w:rsid w:val="00B4318E"/>
    <w:rsid w:val="00B4325F"/>
    <w:rsid w:val="00B433AD"/>
    <w:rsid w:val="00B43529"/>
    <w:rsid w:val="00B43570"/>
    <w:rsid w:val="00B43590"/>
    <w:rsid w:val="00B435BD"/>
    <w:rsid w:val="00B435BF"/>
    <w:rsid w:val="00B43882"/>
    <w:rsid w:val="00B438EF"/>
    <w:rsid w:val="00B43953"/>
    <w:rsid w:val="00B43F44"/>
    <w:rsid w:val="00B43FB1"/>
    <w:rsid w:val="00B44087"/>
    <w:rsid w:val="00B441CE"/>
    <w:rsid w:val="00B44362"/>
    <w:rsid w:val="00B445C0"/>
    <w:rsid w:val="00B4469C"/>
    <w:rsid w:val="00B44774"/>
    <w:rsid w:val="00B4490D"/>
    <w:rsid w:val="00B44B47"/>
    <w:rsid w:val="00B44B74"/>
    <w:rsid w:val="00B44C53"/>
    <w:rsid w:val="00B44CA1"/>
    <w:rsid w:val="00B44D6C"/>
    <w:rsid w:val="00B451E2"/>
    <w:rsid w:val="00B455C8"/>
    <w:rsid w:val="00B457B6"/>
    <w:rsid w:val="00B45C21"/>
    <w:rsid w:val="00B45CAE"/>
    <w:rsid w:val="00B45E32"/>
    <w:rsid w:val="00B45F58"/>
    <w:rsid w:val="00B45F5D"/>
    <w:rsid w:val="00B4607F"/>
    <w:rsid w:val="00B4640A"/>
    <w:rsid w:val="00B464C0"/>
    <w:rsid w:val="00B46639"/>
    <w:rsid w:val="00B468CC"/>
    <w:rsid w:val="00B46CB9"/>
    <w:rsid w:val="00B46E44"/>
    <w:rsid w:val="00B46EE1"/>
    <w:rsid w:val="00B46FCA"/>
    <w:rsid w:val="00B47188"/>
    <w:rsid w:val="00B474EC"/>
    <w:rsid w:val="00B47644"/>
    <w:rsid w:val="00B47742"/>
    <w:rsid w:val="00B47825"/>
    <w:rsid w:val="00B501BD"/>
    <w:rsid w:val="00B50529"/>
    <w:rsid w:val="00B506FC"/>
    <w:rsid w:val="00B5080D"/>
    <w:rsid w:val="00B50983"/>
    <w:rsid w:val="00B50F81"/>
    <w:rsid w:val="00B510BC"/>
    <w:rsid w:val="00B510C1"/>
    <w:rsid w:val="00B51248"/>
    <w:rsid w:val="00B512AC"/>
    <w:rsid w:val="00B51384"/>
    <w:rsid w:val="00B513E8"/>
    <w:rsid w:val="00B5168D"/>
    <w:rsid w:val="00B51896"/>
    <w:rsid w:val="00B5194A"/>
    <w:rsid w:val="00B51AD6"/>
    <w:rsid w:val="00B51DFB"/>
    <w:rsid w:val="00B520FE"/>
    <w:rsid w:val="00B52622"/>
    <w:rsid w:val="00B527C1"/>
    <w:rsid w:val="00B52DFE"/>
    <w:rsid w:val="00B52F9A"/>
    <w:rsid w:val="00B52FC8"/>
    <w:rsid w:val="00B53164"/>
    <w:rsid w:val="00B53286"/>
    <w:rsid w:val="00B53291"/>
    <w:rsid w:val="00B532E7"/>
    <w:rsid w:val="00B53324"/>
    <w:rsid w:val="00B5350A"/>
    <w:rsid w:val="00B5387F"/>
    <w:rsid w:val="00B53A1F"/>
    <w:rsid w:val="00B53CD9"/>
    <w:rsid w:val="00B53D15"/>
    <w:rsid w:val="00B53E59"/>
    <w:rsid w:val="00B54509"/>
    <w:rsid w:val="00B547D2"/>
    <w:rsid w:val="00B54963"/>
    <w:rsid w:val="00B54BE9"/>
    <w:rsid w:val="00B54C47"/>
    <w:rsid w:val="00B54DD1"/>
    <w:rsid w:val="00B54E95"/>
    <w:rsid w:val="00B552D9"/>
    <w:rsid w:val="00B55647"/>
    <w:rsid w:val="00B55674"/>
    <w:rsid w:val="00B557EB"/>
    <w:rsid w:val="00B55807"/>
    <w:rsid w:val="00B559FF"/>
    <w:rsid w:val="00B55AC9"/>
    <w:rsid w:val="00B55B92"/>
    <w:rsid w:val="00B55CFB"/>
    <w:rsid w:val="00B55E64"/>
    <w:rsid w:val="00B55EAB"/>
    <w:rsid w:val="00B55EC5"/>
    <w:rsid w:val="00B56687"/>
    <w:rsid w:val="00B56A75"/>
    <w:rsid w:val="00B56B00"/>
    <w:rsid w:val="00B56B46"/>
    <w:rsid w:val="00B56D08"/>
    <w:rsid w:val="00B56E3B"/>
    <w:rsid w:val="00B56F79"/>
    <w:rsid w:val="00B56F85"/>
    <w:rsid w:val="00B5717E"/>
    <w:rsid w:val="00B571D7"/>
    <w:rsid w:val="00B574D4"/>
    <w:rsid w:val="00B574DB"/>
    <w:rsid w:val="00B57887"/>
    <w:rsid w:val="00B578B8"/>
    <w:rsid w:val="00B57AD0"/>
    <w:rsid w:val="00B57BA6"/>
    <w:rsid w:val="00B57CF1"/>
    <w:rsid w:val="00B57EB7"/>
    <w:rsid w:val="00B57EEF"/>
    <w:rsid w:val="00B60133"/>
    <w:rsid w:val="00B60187"/>
    <w:rsid w:val="00B602E7"/>
    <w:rsid w:val="00B605DE"/>
    <w:rsid w:val="00B60638"/>
    <w:rsid w:val="00B606EB"/>
    <w:rsid w:val="00B60AE2"/>
    <w:rsid w:val="00B60BF4"/>
    <w:rsid w:val="00B60C12"/>
    <w:rsid w:val="00B60C58"/>
    <w:rsid w:val="00B61099"/>
    <w:rsid w:val="00B610DB"/>
    <w:rsid w:val="00B611F9"/>
    <w:rsid w:val="00B61339"/>
    <w:rsid w:val="00B61420"/>
    <w:rsid w:val="00B61441"/>
    <w:rsid w:val="00B61456"/>
    <w:rsid w:val="00B6149A"/>
    <w:rsid w:val="00B61560"/>
    <w:rsid w:val="00B617E7"/>
    <w:rsid w:val="00B6187E"/>
    <w:rsid w:val="00B6195E"/>
    <w:rsid w:val="00B61F63"/>
    <w:rsid w:val="00B6219A"/>
    <w:rsid w:val="00B6223E"/>
    <w:rsid w:val="00B62319"/>
    <w:rsid w:val="00B62818"/>
    <w:rsid w:val="00B62C92"/>
    <w:rsid w:val="00B62FAC"/>
    <w:rsid w:val="00B63040"/>
    <w:rsid w:val="00B6334B"/>
    <w:rsid w:val="00B63365"/>
    <w:rsid w:val="00B634A1"/>
    <w:rsid w:val="00B634C2"/>
    <w:rsid w:val="00B6359F"/>
    <w:rsid w:val="00B63766"/>
    <w:rsid w:val="00B63D5C"/>
    <w:rsid w:val="00B63D8D"/>
    <w:rsid w:val="00B63E06"/>
    <w:rsid w:val="00B640A5"/>
    <w:rsid w:val="00B6410F"/>
    <w:rsid w:val="00B64345"/>
    <w:rsid w:val="00B643D0"/>
    <w:rsid w:val="00B64487"/>
    <w:rsid w:val="00B646AD"/>
    <w:rsid w:val="00B646D9"/>
    <w:rsid w:val="00B64863"/>
    <w:rsid w:val="00B64A15"/>
    <w:rsid w:val="00B64A6D"/>
    <w:rsid w:val="00B64AD1"/>
    <w:rsid w:val="00B64CC9"/>
    <w:rsid w:val="00B653E0"/>
    <w:rsid w:val="00B653E3"/>
    <w:rsid w:val="00B653ED"/>
    <w:rsid w:val="00B6568E"/>
    <w:rsid w:val="00B656EA"/>
    <w:rsid w:val="00B65981"/>
    <w:rsid w:val="00B659EF"/>
    <w:rsid w:val="00B65A24"/>
    <w:rsid w:val="00B65B54"/>
    <w:rsid w:val="00B65B7D"/>
    <w:rsid w:val="00B65C38"/>
    <w:rsid w:val="00B65CC6"/>
    <w:rsid w:val="00B65D06"/>
    <w:rsid w:val="00B65D86"/>
    <w:rsid w:val="00B65EAC"/>
    <w:rsid w:val="00B66090"/>
    <w:rsid w:val="00B666CB"/>
    <w:rsid w:val="00B6670C"/>
    <w:rsid w:val="00B66900"/>
    <w:rsid w:val="00B6691B"/>
    <w:rsid w:val="00B669BC"/>
    <w:rsid w:val="00B66A30"/>
    <w:rsid w:val="00B66BAF"/>
    <w:rsid w:val="00B66C94"/>
    <w:rsid w:val="00B66DC7"/>
    <w:rsid w:val="00B67273"/>
    <w:rsid w:val="00B67475"/>
    <w:rsid w:val="00B67608"/>
    <w:rsid w:val="00B67616"/>
    <w:rsid w:val="00B676DC"/>
    <w:rsid w:val="00B6790A"/>
    <w:rsid w:val="00B679AB"/>
    <w:rsid w:val="00B67B4D"/>
    <w:rsid w:val="00B67D77"/>
    <w:rsid w:val="00B67E84"/>
    <w:rsid w:val="00B70186"/>
    <w:rsid w:val="00B701AE"/>
    <w:rsid w:val="00B70286"/>
    <w:rsid w:val="00B703D2"/>
    <w:rsid w:val="00B7054A"/>
    <w:rsid w:val="00B7083A"/>
    <w:rsid w:val="00B70A14"/>
    <w:rsid w:val="00B70A6E"/>
    <w:rsid w:val="00B70CE5"/>
    <w:rsid w:val="00B70D5F"/>
    <w:rsid w:val="00B70EBB"/>
    <w:rsid w:val="00B70F5A"/>
    <w:rsid w:val="00B70FCC"/>
    <w:rsid w:val="00B71096"/>
    <w:rsid w:val="00B71108"/>
    <w:rsid w:val="00B7143A"/>
    <w:rsid w:val="00B714DD"/>
    <w:rsid w:val="00B71634"/>
    <w:rsid w:val="00B718E0"/>
    <w:rsid w:val="00B71906"/>
    <w:rsid w:val="00B71915"/>
    <w:rsid w:val="00B7193F"/>
    <w:rsid w:val="00B71B1D"/>
    <w:rsid w:val="00B71B29"/>
    <w:rsid w:val="00B71C7A"/>
    <w:rsid w:val="00B72072"/>
    <w:rsid w:val="00B7222A"/>
    <w:rsid w:val="00B7232B"/>
    <w:rsid w:val="00B72535"/>
    <w:rsid w:val="00B729BD"/>
    <w:rsid w:val="00B72D63"/>
    <w:rsid w:val="00B7319E"/>
    <w:rsid w:val="00B7323E"/>
    <w:rsid w:val="00B7329F"/>
    <w:rsid w:val="00B7354A"/>
    <w:rsid w:val="00B73844"/>
    <w:rsid w:val="00B73C99"/>
    <w:rsid w:val="00B73D6F"/>
    <w:rsid w:val="00B73D86"/>
    <w:rsid w:val="00B74017"/>
    <w:rsid w:val="00B74177"/>
    <w:rsid w:val="00B74192"/>
    <w:rsid w:val="00B745F3"/>
    <w:rsid w:val="00B7464A"/>
    <w:rsid w:val="00B74713"/>
    <w:rsid w:val="00B747CD"/>
    <w:rsid w:val="00B749D3"/>
    <w:rsid w:val="00B74A3C"/>
    <w:rsid w:val="00B74ACA"/>
    <w:rsid w:val="00B74B66"/>
    <w:rsid w:val="00B74C4F"/>
    <w:rsid w:val="00B74EC9"/>
    <w:rsid w:val="00B74EE3"/>
    <w:rsid w:val="00B750D2"/>
    <w:rsid w:val="00B7521E"/>
    <w:rsid w:val="00B752D1"/>
    <w:rsid w:val="00B75323"/>
    <w:rsid w:val="00B75831"/>
    <w:rsid w:val="00B75B1E"/>
    <w:rsid w:val="00B75FAB"/>
    <w:rsid w:val="00B760BB"/>
    <w:rsid w:val="00B76329"/>
    <w:rsid w:val="00B76565"/>
    <w:rsid w:val="00B76889"/>
    <w:rsid w:val="00B76D81"/>
    <w:rsid w:val="00B76E12"/>
    <w:rsid w:val="00B772C3"/>
    <w:rsid w:val="00B773B6"/>
    <w:rsid w:val="00B77420"/>
    <w:rsid w:val="00B7773E"/>
    <w:rsid w:val="00B77A6C"/>
    <w:rsid w:val="00B77A9F"/>
    <w:rsid w:val="00B77AD2"/>
    <w:rsid w:val="00B77B2C"/>
    <w:rsid w:val="00B77BBF"/>
    <w:rsid w:val="00B77FF9"/>
    <w:rsid w:val="00B802A8"/>
    <w:rsid w:val="00B805B9"/>
    <w:rsid w:val="00B807F7"/>
    <w:rsid w:val="00B80833"/>
    <w:rsid w:val="00B808A8"/>
    <w:rsid w:val="00B80BDE"/>
    <w:rsid w:val="00B8101C"/>
    <w:rsid w:val="00B810A7"/>
    <w:rsid w:val="00B81298"/>
    <w:rsid w:val="00B812D2"/>
    <w:rsid w:val="00B8130D"/>
    <w:rsid w:val="00B814F1"/>
    <w:rsid w:val="00B817DB"/>
    <w:rsid w:val="00B81B2A"/>
    <w:rsid w:val="00B81D5B"/>
    <w:rsid w:val="00B81EE8"/>
    <w:rsid w:val="00B81F4D"/>
    <w:rsid w:val="00B820D3"/>
    <w:rsid w:val="00B820E1"/>
    <w:rsid w:val="00B82149"/>
    <w:rsid w:val="00B8220A"/>
    <w:rsid w:val="00B8238C"/>
    <w:rsid w:val="00B823A7"/>
    <w:rsid w:val="00B8248F"/>
    <w:rsid w:val="00B825B3"/>
    <w:rsid w:val="00B82BFB"/>
    <w:rsid w:val="00B830D3"/>
    <w:rsid w:val="00B8329F"/>
    <w:rsid w:val="00B833DC"/>
    <w:rsid w:val="00B83753"/>
    <w:rsid w:val="00B837B0"/>
    <w:rsid w:val="00B83804"/>
    <w:rsid w:val="00B83815"/>
    <w:rsid w:val="00B83F04"/>
    <w:rsid w:val="00B845E5"/>
    <w:rsid w:val="00B84A6A"/>
    <w:rsid w:val="00B84A99"/>
    <w:rsid w:val="00B84B0B"/>
    <w:rsid w:val="00B84D63"/>
    <w:rsid w:val="00B84ECF"/>
    <w:rsid w:val="00B8504F"/>
    <w:rsid w:val="00B850D7"/>
    <w:rsid w:val="00B85113"/>
    <w:rsid w:val="00B851BD"/>
    <w:rsid w:val="00B852EE"/>
    <w:rsid w:val="00B853A7"/>
    <w:rsid w:val="00B85516"/>
    <w:rsid w:val="00B856A0"/>
    <w:rsid w:val="00B856E4"/>
    <w:rsid w:val="00B85F48"/>
    <w:rsid w:val="00B860AD"/>
    <w:rsid w:val="00B862C7"/>
    <w:rsid w:val="00B8641D"/>
    <w:rsid w:val="00B864D4"/>
    <w:rsid w:val="00B86725"/>
    <w:rsid w:val="00B867FE"/>
    <w:rsid w:val="00B86A06"/>
    <w:rsid w:val="00B86AAA"/>
    <w:rsid w:val="00B86B27"/>
    <w:rsid w:val="00B86B98"/>
    <w:rsid w:val="00B86D28"/>
    <w:rsid w:val="00B86D5B"/>
    <w:rsid w:val="00B86E33"/>
    <w:rsid w:val="00B86F31"/>
    <w:rsid w:val="00B87167"/>
    <w:rsid w:val="00B87739"/>
    <w:rsid w:val="00B877F9"/>
    <w:rsid w:val="00B8797D"/>
    <w:rsid w:val="00B87D01"/>
    <w:rsid w:val="00B87E64"/>
    <w:rsid w:val="00B90147"/>
    <w:rsid w:val="00B901C6"/>
    <w:rsid w:val="00B9025F"/>
    <w:rsid w:val="00B903F1"/>
    <w:rsid w:val="00B90602"/>
    <w:rsid w:val="00B906DA"/>
    <w:rsid w:val="00B907A3"/>
    <w:rsid w:val="00B9080E"/>
    <w:rsid w:val="00B908CB"/>
    <w:rsid w:val="00B90959"/>
    <w:rsid w:val="00B9098E"/>
    <w:rsid w:val="00B90E28"/>
    <w:rsid w:val="00B90FD8"/>
    <w:rsid w:val="00B91042"/>
    <w:rsid w:val="00B910CE"/>
    <w:rsid w:val="00B912C2"/>
    <w:rsid w:val="00B912ED"/>
    <w:rsid w:val="00B9152E"/>
    <w:rsid w:val="00B91587"/>
    <w:rsid w:val="00B91609"/>
    <w:rsid w:val="00B91980"/>
    <w:rsid w:val="00B91BC2"/>
    <w:rsid w:val="00B91C78"/>
    <w:rsid w:val="00B91D9D"/>
    <w:rsid w:val="00B91EDF"/>
    <w:rsid w:val="00B91FF8"/>
    <w:rsid w:val="00B9202C"/>
    <w:rsid w:val="00B92248"/>
    <w:rsid w:val="00B924D1"/>
    <w:rsid w:val="00B92675"/>
    <w:rsid w:val="00B927C5"/>
    <w:rsid w:val="00B929E3"/>
    <w:rsid w:val="00B92A1C"/>
    <w:rsid w:val="00B92DC4"/>
    <w:rsid w:val="00B92F59"/>
    <w:rsid w:val="00B93010"/>
    <w:rsid w:val="00B935DB"/>
    <w:rsid w:val="00B9387A"/>
    <w:rsid w:val="00B938AA"/>
    <w:rsid w:val="00B93B58"/>
    <w:rsid w:val="00B93C64"/>
    <w:rsid w:val="00B93DC3"/>
    <w:rsid w:val="00B94270"/>
    <w:rsid w:val="00B94292"/>
    <w:rsid w:val="00B9436A"/>
    <w:rsid w:val="00B944B6"/>
    <w:rsid w:val="00B94501"/>
    <w:rsid w:val="00B94A63"/>
    <w:rsid w:val="00B94AB4"/>
    <w:rsid w:val="00B94B8B"/>
    <w:rsid w:val="00B94C87"/>
    <w:rsid w:val="00B94E28"/>
    <w:rsid w:val="00B94E4C"/>
    <w:rsid w:val="00B95001"/>
    <w:rsid w:val="00B95115"/>
    <w:rsid w:val="00B954F0"/>
    <w:rsid w:val="00B95685"/>
    <w:rsid w:val="00B9575C"/>
    <w:rsid w:val="00B957B6"/>
    <w:rsid w:val="00B95839"/>
    <w:rsid w:val="00B95CF8"/>
    <w:rsid w:val="00B95DA6"/>
    <w:rsid w:val="00B95DC6"/>
    <w:rsid w:val="00B960A0"/>
    <w:rsid w:val="00B961B0"/>
    <w:rsid w:val="00B96641"/>
    <w:rsid w:val="00B966A4"/>
    <w:rsid w:val="00B966A6"/>
    <w:rsid w:val="00B967C4"/>
    <w:rsid w:val="00B96B41"/>
    <w:rsid w:val="00B96D76"/>
    <w:rsid w:val="00B96D96"/>
    <w:rsid w:val="00B96E9B"/>
    <w:rsid w:val="00B96EAC"/>
    <w:rsid w:val="00B96F97"/>
    <w:rsid w:val="00B97006"/>
    <w:rsid w:val="00B971BC"/>
    <w:rsid w:val="00B972A9"/>
    <w:rsid w:val="00B97412"/>
    <w:rsid w:val="00B9769E"/>
    <w:rsid w:val="00B97736"/>
    <w:rsid w:val="00B9799C"/>
    <w:rsid w:val="00B979BA"/>
    <w:rsid w:val="00B97C3D"/>
    <w:rsid w:val="00B97E6F"/>
    <w:rsid w:val="00B97FF5"/>
    <w:rsid w:val="00BA004A"/>
    <w:rsid w:val="00BA012B"/>
    <w:rsid w:val="00BA0147"/>
    <w:rsid w:val="00BA04C6"/>
    <w:rsid w:val="00BA066F"/>
    <w:rsid w:val="00BA078A"/>
    <w:rsid w:val="00BA0928"/>
    <w:rsid w:val="00BA0A71"/>
    <w:rsid w:val="00BA0A84"/>
    <w:rsid w:val="00BA0C0F"/>
    <w:rsid w:val="00BA0C35"/>
    <w:rsid w:val="00BA0E6C"/>
    <w:rsid w:val="00BA1075"/>
    <w:rsid w:val="00BA15A1"/>
    <w:rsid w:val="00BA15C5"/>
    <w:rsid w:val="00BA16F4"/>
    <w:rsid w:val="00BA16FD"/>
    <w:rsid w:val="00BA1DD8"/>
    <w:rsid w:val="00BA1FC7"/>
    <w:rsid w:val="00BA20B1"/>
    <w:rsid w:val="00BA2177"/>
    <w:rsid w:val="00BA2180"/>
    <w:rsid w:val="00BA224A"/>
    <w:rsid w:val="00BA26B9"/>
    <w:rsid w:val="00BA2A46"/>
    <w:rsid w:val="00BA2B43"/>
    <w:rsid w:val="00BA2C95"/>
    <w:rsid w:val="00BA2DDE"/>
    <w:rsid w:val="00BA2E4C"/>
    <w:rsid w:val="00BA2F0F"/>
    <w:rsid w:val="00BA301F"/>
    <w:rsid w:val="00BA3086"/>
    <w:rsid w:val="00BA3392"/>
    <w:rsid w:val="00BA351D"/>
    <w:rsid w:val="00BA3565"/>
    <w:rsid w:val="00BA35B3"/>
    <w:rsid w:val="00BA3661"/>
    <w:rsid w:val="00BA388C"/>
    <w:rsid w:val="00BA3AB9"/>
    <w:rsid w:val="00BA3BD7"/>
    <w:rsid w:val="00BA3CA0"/>
    <w:rsid w:val="00BA3D5D"/>
    <w:rsid w:val="00BA3DAC"/>
    <w:rsid w:val="00BA3E17"/>
    <w:rsid w:val="00BA3F60"/>
    <w:rsid w:val="00BA4259"/>
    <w:rsid w:val="00BA4467"/>
    <w:rsid w:val="00BA452F"/>
    <w:rsid w:val="00BA467D"/>
    <w:rsid w:val="00BA467E"/>
    <w:rsid w:val="00BA472A"/>
    <w:rsid w:val="00BA4759"/>
    <w:rsid w:val="00BA4827"/>
    <w:rsid w:val="00BA4CAC"/>
    <w:rsid w:val="00BA4D64"/>
    <w:rsid w:val="00BA5158"/>
    <w:rsid w:val="00BA53A3"/>
    <w:rsid w:val="00BA54F0"/>
    <w:rsid w:val="00BA561C"/>
    <w:rsid w:val="00BA5622"/>
    <w:rsid w:val="00BA580F"/>
    <w:rsid w:val="00BA583E"/>
    <w:rsid w:val="00BA5A76"/>
    <w:rsid w:val="00BA5DC3"/>
    <w:rsid w:val="00BA5F7B"/>
    <w:rsid w:val="00BA622A"/>
    <w:rsid w:val="00BA6352"/>
    <w:rsid w:val="00BA6828"/>
    <w:rsid w:val="00BA721C"/>
    <w:rsid w:val="00BA7428"/>
    <w:rsid w:val="00BA76CB"/>
    <w:rsid w:val="00BA7AF2"/>
    <w:rsid w:val="00BA7B82"/>
    <w:rsid w:val="00BA7BBF"/>
    <w:rsid w:val="00BA7CA5"/>
    <w:rsid w:val="00BA7D5F"/>
    <w:rsid w:val="00BA7D79"/>
    <w:rsid w:val="00BA7E59"/>
    <w:rsid w:val="00BA7EAA"/>
    <w:rsid w:val="00BA7F31"/>
    <w:rsid w:val="00BA7FAC"/>
    <w:rsid w:val="00BB0007"/>
    <w:rsid w:val="00BB0180"/>
    <w:rsid w:val="00BB01A9"/>
    <w:rsid w:val="00BB02C6"/>
    <w:rsid w:val="00BB05D9"/>
    <w:rsid w:val="00BB0608"/>
    <w:rsid w:val="00BB073C"/>
    <w:rsid w:val="00BB0A6A"/>
    <w:rsid w:val="00BB0D1E"/>
    <w:rsid w:val="00BB0D9B"/>
    <w:rsid w:val="00BB1067"/>
    <w:rsid w:val="00BB14F1"/>
    <w:rsid w:val="00BB1545"/>
    <w:rsid w:val="00BB15AA"/>
    <w:rsid w:val="00BB1613"/>
    <w:rsid w:val="00BB1659"/>
    <w:rsid w:val="00BB1ACE"/>
    <w:rsid w:val="00BB1CA5"/>
    <w:rsid w:val="00BB238C"/>
    <w:rsid w:val="00BB24F6"/>
    <w:rsid w:val="00BB25DE"/>
    <w:rsid w:val="00BB2608"/>
    <w:rsid w:val="00BB28CC"/>
    <w:rsid w:val="00BB2B4D"/>
    <w:rsid w:val="00BB2D67"/>
    <w:rsid w:val="00BB2F22"/>
    <w:rsid w:val="00BB2F5C"/>
    <w:rsid w:val="00BB2F8E"/>
    <w:rsid w:val="00BB2FDD"/>
    <w:rsid w:val="00BB3286"/>
    <w:rsid w:val="00BB336C"/>
    <w:rsid w:val="00BB3487"/>
    <w:rsid w:val="00BB3503"/>
    <w:rsid w:val="00BB35DA"/>
    <w:rsid w:val="00BB39F3"/>
    <w:rsid w:val="00BB39F4"/>
    <w:rsid w:val="00BB3A28"/>
    <w:rsid w:val="00BB3A53"/>
    <w:rsid w:val="00BB3B0B"/>
    <w:rsid w:val="00BB3E87"/>
    <w:rsid w:val="00BB4003"/>
    <w:rsid w:val="00BB444C"/>
    <w:rsid w:val="00BB445C"/>
    <w:rsid w:val="00BB4470"/>
    <w:rsid w:val="00BB4A0A"/>
    <w:rsid w:val="00BB5023"/>
    <w:rsid w:val="00BB50A1"/>
    <w:rsid w:val="00BB5131"/>
    <w:rsid w:val="00BB51D5"/>
    <w:rsid w:val="00BB5358"/>
    <w:rsid w:val="00BB567B"/>
    <w:rsid w:val="00BB5905"/>
    <w:rsid w:val="00BB5CAF"/>
    <w:rsid w:val="00BB5D6A"/>
    <w:rsid w:val="00BB5EEB"/>
    <w:rsid w:val="00BB5F6F"/>
    <w:rsid w:val="00BB612D"/>
    <w:rsid w:val="00BB64C3"/>
    <w:rsid w:val="00BB671C"/>
    <w:rsid w:val="00BB67A6"/>
    <w:rsid w:val="00BB6920"/>
    <w:rsid w:val="00BB6BB3"/>
    <w:rsid w:val="00BB6DF1"/>
    <w:rsid w:val="00BB72FA"/>
    <w:rsid w:val="00BB7305"/>
    <w:rsid w:val="00BB735F"/>
    <w:rsid w:val="00BB7B56"/>
    <w:rsid w:val="00BB7BAE"/>
    <w:rsid w:val="00BB7C02"/>
    <w:rsid w:val="00BB7C8C"/>
    <w:rsid w:val="00BB7C9A"/>
    <w:rsid w:val="00BB7E86"/>
    <w:rsid w:val="00BC0000"/>
    <w:rsid w:val="00BC0344"/>
    <w:rsid w:val="00BC0651"/>
    <w:rsid w:val="00BC0831"/>
    <w:rsid w:val="00BC095B"/>
    <w:rsid w:val="00BC09F8"/>
    <w:rsid w:val="00BC0BC3"/>
    <w:rsid w:val="00BC0C82"/>
    <w:rsid w:val="00BC0D49"/>
    <w:rsid w:val="00BC0E85"/>
    <w:rsid w:val="00BC10E4"/>
    <w:rsid w:val="00BC1342"/>
    <w:rsid w:val="00BC13C4"/>
    <w:rsid w:val="00BC1807"/>
    <w:rsid w:val="00BC18CA"/>
    <w:rsid w:val="00BC1B1B"/>
    <w:rsid w:val="00BC1B86"/>
    <w:rsid w:val="00BC24E0"/>
    <w:rsid w:val="00BC25AC"/>
    <w:rsid w:val="00BC268B"/>
    <w:rsid w:val="00BC2788"/>
    <w:rsid w:val="00BC2BB0"/>
    <w:rsid w:val="00BC2C45"/>
    <w:rsid w:val="00BC324A"/>
    <w:rsid w:val="00BC367A"/>
    <w:rsid w:val="00BC36CA"/>
    <w:rsid w:val="00BC3AEB"/>
    <w:rsid w:val="00BC3BB9"/>
    <w:rsid w:val="00BC3C47"/>
    <w:rsid w:val="00BC3D7C"/>
    <w:rsid w:val="00BC3ECD"/>
    <w:rsid w:val="00BC3F26"/>
    <w:rsid w:val="00BC3FE4"/>
    <w:rsid w:val="00BC4185"/>
    <w:rsid w:val="00BC458F"/>
    <w:rsid w:val="00BC4763"/>
    <w:rsid w:val="00BC4CE2"/>
    <w:rsid w:val="00BC4E41"/>
    <w:rsid w:val="00BC4FD3"/>
    <w:rsid w:val="00BC5113"/>
    <w:rsid w:val="00BC511F"/>
    <w:rsid w:val="00BC5276"/>
    <w:rsid w:val="00BC57CD"/>
    <w:rsid w:val="00BC5888"/>
    <w:rsid w:val="00BC58DB"/>
    <w:rsid w:val="00BC5A0F"/>
    <w:rsid w:val="00BC5A85"/>
    <w:rsid w:val="00BC5ACC"/>
    <w:rsid w:val="00BC5B07"/>
    <w:rsid w:val="00BC5C32"/>
    <w:rsid w:val="00BC6097"/>
    <w:rsid w:val="00BC6334"/>
    <w:rsid w:val="00BC6570"/>
    <w:rsid w:val="00BC6641"/>
    <w:rsid w:val="00BC6741"/>
    <w:rsid w:val="00BC7007"/>
    <w:rsid w:val="00BC77A6"/>
    <w:rsid w:val="00BC77B5"/>
    <w:rsid w:val="00BC7C3B"/>
    <w:rsid w:val="00BC7D03"/>
    <w:rsid w:val="00BC7E29"/>
    <w:rsid w:val="00BC7E6B"/>
    <w:rsid w:val="00BC7EE6"/>
    <w:rsid w:val="00BD00EE"/>
    <w:rsid w:val="00BD0254"/>
    <w:rsid w:val="00BD04A8"/>
    <w:rsid w:val="00BD05B7"/>
    <w:rsid w:val="00BD05F2"/>
    <w:rsid w:val="00BD065B"/>
    <w:rsid w:val="00BD0693"/>
    <w:rsid w:val="00BD06B6"/>
    <w:rsid w:val="00BD0780"/>
    <w:rsid w:val="00BD07CD"/>
    <w:rsid w:val="00BD082B"/>
    <w:rsid w:val="00BD086F"/>
    <w:rsid w:val="00BD0AF6"/>
    <w:rsid w:val="00BD0BF8"/>
    <w:rsid w:val="00BD0E00"/>
    <w:rsid w:val="00BD0F8A"/>
    <w:rsid w:val="00BD13C5"/>
    <w:rsid w:val="00BD177F"/>
    <w:rsid w:val="00BD17F4"/>
    <w:rsid w:val="00BD1894"/>
    <w:rsid w:val="00BD1CA8"/>
    <w:rsid w:val="00BD1CAE"/>
    <w:rsid w:val="00BD1DB7"/>
    <w:rsid w:val="00BD1F04"/>
    <w:rsid w:val="00BD1F0B"/>
    <w:rsid w:val="00BD1F5B"/>
    <w:rsid w:val="00BD1FA0"/>
    <w:rsid w:val="00BD21BA"/>
    <w:rsid w:val="00BD220F"/>
    <w:rsid w:val="00BD22CB"/>
    <w:rsid w:val="00BD2579"/>
    <w:rsid w:val="00BD27CD"/>
    <w:rsid w:val="00BD2A59"/>
    <w:rsid w:val="00BD2B4E"/>
    <w:rsid w:val="00BD2C0F"/>
    <w:rsid w:val="00BD2D28"/>
    <w:rsid w:val="00BD2DE3"/>
    <w:rsid w:val="00BD2E19"/>
    <w:rsid w:val="00BD2EE7"/>
    <w:rsid w:val="00BD302C"/>
    <w:rsid w:val="00BD3044"/>
    <w:rsid w:val="00BD3102"/>
    <w:rsid w:val="00BD31FA"/>
    <w:rsid w:val="00BD3297"/>
    <w:rsid w:val="00BD35A0"/>
    <w:rsid w:val="00BD365E"/>
    <w:rsid w:val="00BD3A1A"/>
    <w:rsid w:val="00BD3C3C"/>
    <w:rsid w:val="00BD3DEF"/>
    <w:rsid w:val="00BD3E24"/>
    <w:rsid w:val="00BD4494"/>
    <w:rsid w:val="00BD454D"/>
    <w:rsid w:val="00BD45AE"/>
    <w:rsid w:val="00BD47A5"/>
    <w:rsid w:val="00BD4999"/>
    <w:rsid w:val="00BD4E5E"/>
    <w:rsid w:val="00BD4F5B"/>
    <w:rsid w:val="00BD4FF2"/>
    <w:rsid w:val="00BD50B2"/>
    <w:rsid w:val="00BD52A5"/>
    <w:rsid w:val="00BD5337"/>
    <w:rsid w:val="00BD54BF"/>
    <w:rsid w:val="00BD5738"/>
    <w:rsid w:val="00BD5749"/>
    <w:rsid w:val="00BD5AE9"/>
    <w:rsid w:val="00BD5F3E"/>
    <w:rsid w:val="00BD5F50"/>
    <w:rsid w:val="00BD6018"/>
    <w:rsid w:val="00BD615A"/>
    <w:rsid w:val="00BD63D3"/>
    <w:rsid w:val="00BD6574"/>
    <w:rsid w:val="00BD65A2"/>
    <w:rsid w:val="00BD6D49"/>
    <w:rsid w:val="00BD6D76"/>
    <w:rsid w:val="00BD6ECF"/>
    <w:rsid w:val="00BD6F56"/>
    <w:rsid w:val="00BD7109"/>
    <w:rsid w:val="00BD7310"/>
    <w:rsid w:val="00BD743B"/>
    <w:rsid w:val="00BD7440"/>
    <w:rsid w:val="00BD7663"/>
    <w:rsid w:val="00BD76AF"/>
    <w:rsid w:val="00BD76C2"/>
    <w:rsid w:val="00BD7962"/>
    <w:rsid w:val="00BD7A95"/>
    <w:rsid w:val="00BE0391"/>
    <w:rsid w:val="00BE03BC"/>
    <w:rsid w:val="00BE056F"/>
    <w:rsid w:val="00BE077F"/>
    <w:rsid w:val="00BE0A38"/>
    <w:rsid w:val="00BE0BEB"/>
    <w:rsid w:val="00BE0BFB"/>
    <w:rsid w:val="00BE0DD8"/>
    <w:rsid w:val="00BE1472"/>
    <w:rsid w:val="00BE1652"/>
    <w:rsid w:val="00BE1686"/>
    <w:rsid w:val="00BE1879"/>
    <w:rsid w:val="00BE19B7"/>
    <w:rsid w:val="00BE1B6A"/>
    <w:rsid w:val="00BE1BC3"/>
    <w:rsid w:val="00BE1BCE"/>
    <w:rsid w:val="00BE1D1C"/>
    <w:rsid w:val="00BE1F09"/>
    <w:rsid w:val="00BE237B"/>
    <w:rsid w:val="00BE238C"/>
    <w:rsid w:val="00BE24B4"/>
    <w:rsid w:val="00BE25D9"/>
    <w:rsid w:val="00BE27A1"/>
    <w:rsid w:val="00BE2AA2"/>
    <w:rsid w:val="00BE2B45"/>
    <w:rsid w:val="00BE2D83"/>
    <w:rsid w:val="00BE2DEF"/>
    <w:rsid w:val="00BE2F59"/>
    <w:rsid w:val="00BE2F75"/>
    <w:rsid w:val="00BE3087"/>
    <w:rsid w:val="00BE3265"/>
    <w:rsid w:val="00BE32F1"/>
    <w:rsid w:val="00BE3695"/>
    <w:rsid w:val="00BE3A21"/>
    <w:rsid w:val="00BE3A4E"/>
    <w:rsid w:val="00BE3F73"/>
    <w:rsid w:val="00BE3FC4"/>
    <w:rsid w:val="00BE4035"/>
    <w:rsid w:val="00BE473D"/>
    <w:rsid w:val="00BE4837"/>
    <w:rsid w:val="00BE4945"/>
    <w:rsid w:val="00BE498A"/>
    <w:rsid w:val="00BE4D00"/>
    <w:rsid w:val="00BE4DAE"/>
    <w:rsid w:val="00BE4DD4"/>
    <w:rsid w:val="00BE50D7"/>
    <w:rsid w:val="00BE530C"/>
    <w:rsid w:val="00BE53F0"/>
    <w:rsid w:val="00BE55EB"/>
    <w:rsid w:val="00BE5684"/>
    <w:rsid w:val="00BE57B9"/>
    <w:rsid w:val="00BE5A38"/>
    <w:rsid w:val="00BE5D4C"/>
    <w:rsid w:val="00BE5FAE"/>
    <w:rsid w:val="00BE5FC4"/>
    <w:rsid w:val="00BE6481"/>
    <w:rsid w:val="00BE64FD"/>
    <w:rsid w:val="00BE6509"/>
    <w:rsid w:val="00BE6572"/>
    <w:rsid w:val="00BE6B80"/>
    <w:rsid w:val="00BE6E27"/>
    <w:rsid w:val="00BE6FFE"/>
    <w:rsid w:val="00BE7004"/>
    <w:rsid w:val="00BE7255"/>
    <w:rsid w:val="00BE797C"/>
    <w:rsid w:val="00BE7A1D"/>
    <w:rsid w:val="00BE7AC5"/>
    <w:rsid w:val="00BE7B88"/>
    <w:rsid w:val="00BE7C9E"/>
    <w:rsid w:val="00BE7D61"/>
    <w:rsid w:val="00BE7D6C"/>
    <w:rsid w:val="00BE7E14"/>
    <w:rsid w:val="00BE7EB3"/>
    <w:rsid w:val="00BE7F61"/>
    <w:rsid w:val="00BF0132"/>
    <w:rsid w:val="00BF02CA"/>
    <w:rsid w:val="00BF03C2"/>
    <w:rsid w:val="00BF03D7"/>
    <w:rsid w:val="00BF059D"/>
    <w:rsid w:val="00BF06D0"/>
    <w:rsid w:val="00BF086D"/>
    <w:rsid w:val="00BF08F2"/>
    <w:rsid w:val="00BF0D76"/>
    <w:rsid w:val="00BF0E71"/>
    <w:rsid w:val="00BF10E1"/>
    <w:rsid w:val="00BF1113"/>
    <w:rsid w:val="00BF129E"/>
    <w:rsid w:val="00BF1311"/>
    <w:rsid w:val="00BF14A0"/>
    <w:rsid w:val="00BF17C2"/>
    <w:rsid w:val="00BF1A14"/>
    <w:rsid w:val="00BF1A36"/>
    <w:rsid w:val="00BF1AE0"/>
    <w:rsid w:val="00BF1B01"/>
    <w:rsid w:val="00BF1B86"/>
    <w:rsid w:val="00BF1B88"/>
    <w:rsid w:val="00BF1CD1"/>
    <w:rsid w:val="00BF1EC4"/>
    <w:rsid w:val="00BF24B6"/>
    <w:rsid w:val="00BF25C6"/>
    <w:rsid w:val="00BF2758"/>
    <w:rsid w:val="00BF279B"/>
    <w:rsid w:val="00BF2909"/>
    <w:rsid w:val="00BF2A27"/>
    <w:rsid w:val="00BF2DC9"/>
    <w:rsid w:val="00BF2E4E"/>
    <w:rsid w:val="00BF31A7"/>
    <w:rsid w:val="00BF336E"/>
    <w:rsid w:val="00BF345F"/>
    <w:rsid w:val="00BF3748"/>
    <w:rsid w:val="00BF377B"/>
    <w:rsid w:val="00BF3CEE"/>
    <w:rsid w:val="00BF3F4D"/>
    <w:rsid w:val="00BF3FB6"/>
    <w:rsid w:val="00BF4101"/>
    <w:rsid w:val="00BF4173"/>
    <w:rsid w:val="00BF4272"/>
    <w:rsid w:val="00BF42DB"/>
    <w:rsid w:val="00BF4586"/>
    <w:rsid w:val="00BF4719"/>
    <w:rsid w:val="00BF49E6"/>
    <w:rsid w:val="00BF4C4F"/>
    <w:rsid w:val="00BF4E98"/>
    <w:rsid w:val="00BF512D"/>
    <w:rsid w:val="00BF528C"/>
    <w:rsid w:val="00BF53B4"/>
    <w:rsid w:val="00BF55B8"/>
    <w:rsid w:val="00BF563E"/>
    <w:rsid w:val="00BF5685"/>
    <w:rsid w:val="00BF5A11"/>
    <w:rsid w:val="00BF5A2B"/>
    <w:rsid w:val="00BF5A94"/>
    <w:rsid w:val="00BF5AB6"/>
    <w:rsid w:val="00BF5C8B"/>
    <w:rsid w:val="00BF5CCA"/>
    <w:rsid w:val="00BF5F1D"/>
    <w:rsid w:val="00BF611E"/>
    <w:rsid w:val="00BF65BE"/>
    <w:rsid w:val="00BF6F6A"/>
    <w:rsid w:val="00BF7458"/>
    <w:rsid w:val="00BF76CC"/>
    <w:rsid w:val="00BF7AC6"/>
    <w:rsid w:val="00BF7B47"/>
    <w:rsid w:val="00BF7BA6"/>
    <w:rsid w:val="00BF7BEA"/>
    <w:rsid w:val="00BF7C60"/>
    <w:rsid w:val="00BF7E70"/>
    <w:rsid w:val="00C0024E"/>
    <w:rsid w:val="00C00567"/>
    <w:rsid w:val="00C006B0"/>
    <w:rsid w:val="00C006CC"/>
    <w:rsid w:val="00C00864"/>
    <w:rsid w:val="00C00A6E"/>
    <w:rsid w:val="00C00C8F"/>
    <w:rsid w:val="00C00DFD"/>
    <w:rsid w:val="00C00E18"/>
    <w:rsid w:val="00C011D6"/>
    <w:rsid w:val="00C0124A"/>
    <w:rsid w:val="00C0167B"/>
    <w:rsid w:val="00C01696"/>
    <w:rsid w:val="00C01944"/>
    <w:rsid w:val="00C01C4B"/>
    <w:rsid w:val="00C01D19"/>
    <w:rsid w:val="00C01ED7"/>
    <w:rsid w:val="00C01F59"/>
    <w:rsid w:val="00C02109"/>
    <w:rsid w:val="00C0215F"/>
    <w:rsid w:val="00C022F3"/>
    <w:rsid w:val="00C0263C"/>
    <w:rsid w:val="00C027C9"/>
    <w:rsid w:val="00C0283E"/>
    <w:rsid w:val="00C02879"/>
    <w:rsid w:val="00C02EE2"/>
    <w:rsid w:val="00C02F3F"/>
    <w:rsid w:val="00C03085"/>
    <w:rsid w:val="00C030B5"/>
    <w:rsid w:val="00C030D2"/>
    <w:rsid w:val="00C0311C"/>
    <w:rsid w:val="00C031DB"/>
    <w:rsid w:val="00C0320F"/>
    <w:rsid w:val="00C03337"/>
    <w:rsid w:val="00C0370B"/>
    <w:rsid w:val="00C03981"/>
    <w:rsid w:val="00C03A4E"/>
    <w:rsid w:val="00C03A8A"/>
    <w:rsid w:val="00C03EC1"/>
    <w:rsid w:val="00C03F5F"/>
    <w:rsid w:val="00C03FC8"/>
    <w:rsid w:val="00C03FF7"/>
    <w:rsid w:val="00C04031"/>
    <w:rsid w:val="00C04120"/>
    <w:rsid w:val="00C04235"/>
    <w:rsid w:val="00C04410"/>
    <w:rsid w:val="00C046D8"/>
    <w:rsid w:val="00C047AE"/>
    <w:rsid w:val="00C0487A"/>
    <w:rsid w:val="00C049F8"/>
    <w:rsid w:val="00C04C0C"/>
    <w:rsid w:val="00C04C52"/>
    <w:rsid w:val="00C04DF4"/>
    <w:rsid w:val="00C05008"/>
    <w:rsid w:val="00C05120"/>
    <w:rsid w:val="00C051C2"/>
    <w:rsid w:val="00C05385"/>
    <w:rsid w:val="00C053BB"/>
    <w:rsid w:val="00C05444"/>
    <w:rsid w:val="00C057FB"/>
    <w:rsid w:val="00C05C00"/>
    <w:rsid w:val="00C05D35"/>
    <w:rsid w:val="00C05D7E"/>
    <w:rsid w:val="00C05F09"/>
    <w:rsid w:val="00C061A8"/>
    <w:rsid w:val="00C061AA"/>
    <w:rsid w:val="00C0626A"/>
    <w:rsid w:val="00C06359"/>
    <w:rsid w:val="00C064AB"/>
    <w:rsid w:val="00C065A5"/>
    <w:rsid w:val="00C06633"/>
    <w:rsid w:val="00C069A0"/>
    <w:rsid w:val="00C069DE"/>
    <w:rsid w:val="00C06D42"/>
    <w:rsid w:val="00C06EC5"/>
    <w:rsid w:val="00C0707E"/>
    <w:rsid w:val="00C073AE"/>
    <w:rsid w:val="00C078E4"/>
    <w:rsid w:val="00C07908"/>
    <w:rsid w:val="00C07977"/>
    <w:rsid w:val="00C07AB9"/>
    <w:rsid w:val="00C07C25"/>
    <w:rsid w:val="00C07C6D"/>
    <w:rsid w:val="00C07D1D"/>
    <w:rsid w:val="00C07D37"/>
    <w:rsid w:val="00C07D54"/>
    <w:rsid w:val="00C07DFE"/>
    <w:rsid w:val="00C07F9A"/>
    <w:rsid w:val="00C1004C"/>
    <w:rsid w:val="00C104C6"/>
    <w:rsid w:val="00C104EE"/>
    <w:rsid w:val="00C10555"/>
    <w:rsid w:val="00C10683"/>
    <w:rsid w:val="00C1068C"/>
    <w:rsid w:val="00C10A54"/>
    <w:rsid w:val="00C1132A"/>
    <w:rsid w:val="00C11654"/>
    <w:rsid w:val="00C116A7"/>
    <w:rsid w:val="00C11A80"/>
    <w:rsid w:val="00C125AA"/>
    <w:rsid w:val="00C128FC"/>
    <w:rsid w:val="00C12C06"/>
    <w:rsid w:val="00C12C0D"/>
    <w:rsid w:val="00C12C49"/>
    <w:rsid w:val="00C12CBD"/>
    <w:rsid w:val="00C12DB6"/>
    <w:rsid w:val="00C12DC5"/>
    <w:rsid w:val="00C12E4D"/>
    <w:rsid w:val="00C12F5F"/>
    <w:rsid w:val="00C13224"/>
    <w:rsid w:val="00C1324A"/>
    <w:rsid w:val="00C13355"/>
    <w:rsid w:val="00C135AF"/>
    <w:rsid w:val="00C13792"/>
    <w:rsid w:val="00C138F0"/>
    <w:rsid w:val="00C1395E"/>
    <w:rsid w:val="00C139CB"/>
    <w:rsid w:val="00C13A7B"/>
    <w:rsid w:val="00C13C80"/>
    <w:rsid w:val="00C13D14"/>
    <w:rsid w:val="00C13D81"/>
    <w:rsid w:val="00C13E41"/>
    <w:rsid w:val="00C13EA6"/>
    <w:rsid w:val="00C13F0D"/>
    <w:rsid w:val="00C13F93"/>
    <w:rsid w:val="00C13FDA"/>
    <w:rsid w:val="00C14166"/>
    <w:rsid w:val="00C144B9"/>
    <w:rsid w:val="00C14972"/>
    <w:rsid w:val="00C14AC8"/>
    <w:rsid w:val="00C15645"/>
    <w:rsid w:val="00C15CEA"/>
    <w:rsid w:val="00C15D26"/>
    <w:rsid w:val="00C15F91"/>
    <w:rsid w:val="00C160C3"/>
    <w:rsid w:val="00C1613D"/>
    <w:rsid w:val="00C16221"/>
    <w:rsid w:val="00C163E5"/>
    <w:rsid w:val="00C16417"/>
    <w:rsid w:val="00C16566"/>
    <w:rsid w:val="00C16751"/>
    <w:rsid w:val="00C16817"/>
    <w:rsid w:val="00C169B2"/>
    <w:rsid w:val="00C16AF2"/>
    <w:rsid w:val="00C16B08"/>
    <w:rsid w:val="00C16B21"/>
    <w:rsid w:val="00C16CC8"/>
    <w:rsid w:val="00C16D92"/>
    <w:rsid w:val="00C16E9D"/>
    <w:rsid w:val="00C172DF"/>
    <w:rsid w:val="00C172FB"/>
    <w:rsid w:val="00C173D7"/>
    <w:rsid w:val="00C173ED"/>
    <w:rsid w:val="00C17870"/>
    <w:rsid w:val="00C178FF"/>
    <w:rsid w:val="00C17B5D"/>
    <w:rsid w:val="00C17BF2"/>
    <w:rsid w:val="00C17C17"/>
    <w:rsid w:val="00C17C73"/>
    <w:rsid w:val="00C20281"/>
    <w:rsid w:val="00C202B8"/>
    <w:rsid w:val="00C20405"/>
    <w:rsid w:val="00C20521"/>
    <w:rsid w:val="00C20651"/>
    <w:rsid w:val="00C20B00"/>
    <w:rsid w:val="00C20C88"/>
    <w:rsid w:val="00C20CC6"/>
    <w:rsid w:val="00C20D37"/>
    <w:rsid w:val="00C20E6C"/>
    <w:rsid w:val="00C21138"/>
    <w:rsid w:val="00C212A3"/>
    <w:rsid w:val="00C21450"/>
    <w:rsid w:val="00C21579"/>
    <w:rsid w:val="00C216BF"/>
    <w:rsid w:val="00C2179C"/>
    <w:rsid w:val="00C21807"/>
    <w:rsid w:val="00C21831"/>
    <w:rsid w:val="00C2190E"/>
    <w:rsid w:val="00C219F9"/>
    <w:rsid w:val="00C21E87"/>
    <w:rsid w:val="00C21F69"/>
    <w:rsid w:val="00C2215B"/>
    <w:rsid w:val="00C2219B"/>
    <w:rsid w:val="00C22282"/>
    <w:rsid w:val="00C2240F"/>
    <w:rsid w:val="00C225B6"/>
    <w:rsid w:val="00C225FD"/>
    <w:rsid w:val="00C228DD"/>
    <w:rsid w:val="00C22ABE"/>
    <w:rsid w:val="00C22C47"/>
    <w:rsid w:val="00C231F8"/>
    <w:rsid w:val="00C23298"/>
    <w:rsid w:val="00C232E8"/>
    <w:rsid w:val="00C233E3"/>
    <w:rsid w:val="00C23462"/>
    <w:rsid w:val="00C23911"/>
    <w:rsid w:val="00C23A2B"/>
    <w:rsid w:val="00C23B00"/>
    <w:rsid w:val="00C242BC"/>
    <w:rsid w:val="00C243CF"/>
    <w:rsid w:val="00C24501"/>
    <w:rsid w:val="00C24608"/>
    <w:rsid w:val="00C246AE"/>
    <w:rsid w:val="00C246BC"/>
    <w:rsid w:val="00C2483A"/>
    <w:rsid w:val="00C24842"/>
    <w:rsid w:val="00C24AD5"/>
    <w:rsid w:val="00C24C42"/>
    <w:rsid w:val="00C24E31"/>
    <w:rsid w:val="00C25018"/>
    <w:rsid w:val="00C2546B"/>
    <w:rsid w:val="00C25535"/>
    <w:rsid w:val="00C256E7"/>
    <w:rsid w:val="00C257CE"/>
    <w:rsid w:val="00C25A69"/>
    <w:rsid w:val="00C25ACA"/>
    <w:rsid w:val="00C25ACD"/>
    <w:rsid w:val="00C25B0B"/>
    <w:rsid w:val="00C25BE7"/>
    <w:rsid w:val="00C26064"/>
    <w:rsid w:val="00C26341"/>
    <w:rsid w:val="00C265FD"/>
    <w:rsid w:val="00C2668F"/>
    <w:rsid w:val="00C266E5"/>
    <w:rsid w:val="00C26715"/>
    <w:rsid w:val="00C26838"/>
    <w:rsid w:val="00C26977"/>
    <w:rsid w:val="00C26981"/>
    <w:rsid w:val="00C26B8D"/>
    <w:rsid w:val="00C26C18"/>
    <w:rsid w:val="00C26D07"/>
    <w:rsid w:val="00C26D5B"/>
    <w:rsid w:val="00C26D6A"/>
    <w:rsid w:val="00C26E07"/>
    <w:rsid w:val="00C2732A"/>
    <w:rsid w:val="00C27350"/>
    <w:rsid w:val="00C2744B"/>
    <w:rsid w:val="00C276E8"/>
    <w:rsid w:val="00C27746"/>
    <w:rsid w:val="00C2789D"/>
    <w:rsid w:val="00C27D88"/>
    <w:rsid w:val="00C27DB9"/>
    <w:rsid w:val="00C27F76"/>
    <w:rsid w:val="00C27F8A"/>
    <w:rsid w:val="00C301CA"/>
    <w:rsid w:val="00C3026A"/>
    <w:rsid w:val="00C30435"/>
    <w:rsid w:val="00C3052C"/>
    <w:rsid w:val="00C305E2"/>
    <w:rsid w:val="00C307B3"/>
    <w:rsid w:val="00C3094F"/>
    <w:rsid w:val="00C3099B"/>
    <w:rsid w:val="00C309F1"/>
    <w:rsid w:val="00C30B6A"/>
    <w:rsid w:val="00C30B7D"/>
    <w:rsid w:val="00C30F87"/>
    <w:rsid w:val="00C31063"/>
    <w:rsid w:val="00C31095"/>
    <w:rsid w:val="00C310A7"/>
    <w:rsid w:val="00C311EA"/>
    <w:rsid w:val="00C314FE"/>
    <w:rsid w:val="00C31743"/>
    <w:rsid w:val="00C31986"/>
    <w:rsid w:val="00C31B00"/>
    <w:rsid w:val="00C31C4C"/>
    <w:rsid w:val="00C31DCD"/>
    <w:rsid w:val="00C32000"/>
    <w:rsid w:val="00C320E4"/>
    <w:rsid w:val="00C32235"/>
    <w:rsid w:val="00C32320"/>
    <w:rsid w:val="00C323C4"/>
    <w:rsid w:val="00C32417"/>
    <w:rsid w:val="00C325AD"/>
    <w:rsid w:val="00C3260C"/>
    <w:rsid w:val="00C32861"/>
    <w:rsid w:val="00C3286F"/>
    <w:rsid w:val="00C32882"/>
    <w:rsid w:val="00C32A6B"/>
    <w:rsid w:val="00C32AEE"/>
    <w:rsid w:val="00C331FA"/>
    <w:rsid w:val="00C333BF"/>
    <w:rsid w:val="00C33717"/>
    <w:rsid w:val="00C3373F"/>
    <w:rsid w:val="00C337FC"/>
    <w:rsid w:val="00C33AF8"/>
    <w:rsid w:val="00C33F6D"/>
    <w:rsid w:val="00C33FB2"/>
    <w:rsid w:val="00C34217"/>
    <w:rsid w:val="00C3439D"/>
    <w:rsid w:val="00C3457E"/>
    <w:rsid w:val="00C345EF"/>
    <w:rsid w:val="00C3478D"/>
    <w:rsid w:val="00C348A5"/>
    <w:rsid w:val="00C34A0B"/>
    <w:rsid w:val="00C34C61"/>
    <w:rsid w:val="00C34EA5"/>
    <w:rsid w:val="00C35547"/>
    <w:rsid w:val="00C3561C"/>
    <w:rsid w:val="00C35960"/>
    <w:rsid w:val="00C35E75"/>
    <w:rsid w:val="00C35ECC"/>
    <w:rsid w:val="00C361A5"/>
    <w:rsid w:val="00C361C0"/>
    <w:rsid w:val="00C3634D"/>
    <w:rsid w:val="00C36413"/>
    <w:rsid w:val="00C3651D"/>
    <w:rsid w:val="00C366C6"/>
    <w:rsid w:val="00C367CD"/>
    <w:rsid w:val="00C369DF"/>
    <w:rsid w:val="00C36A73"/>
    <w:rsid w:val="00C36BEC"/>
    <w:rsid w:val="00C36BFC"/>
    <w:rsid w:val="00C36CB2"/>
    <w:rsid w:val="00C370E4"/>
    <w:rsid w:val="00C372A3"/>
    <w:rsid w:val="00C3737D"/>
    <w:rsid w:val="00C374D8"/>
    <w:rsid w:val="00C375C0"/>
    <w:rsid w:val="00C3761F"/>
    <w:rsid w:val="00C37649"/>
    <w:rsid w:val="00C37688"/>
    <w:rsid w:val="00C378B1"/>
    <w:rsid w:val="00C37A50"/>
    <w:rsid w:val="00C37CBD"/>
    <w:rsid w:val="00C37FC5"/>
    <w:rsid w:val="00C40231"/>
    <w:rsid w:val="00C40320"/>
    <w:rsid w:val="00C40427"/>
    <w:rsid w:val="00C40629"/>
    <w:rsid w:val="00C40786"/>
    <w:rsid w:val="00C4082A"/>
    <w:rsid w:val="00C40BC8"/>
    <w:rsid w:val="00C40C79"/>
    <w:rsid w:val="00C40C9C"/>
    <w:rsid w:val="00C40D2C"/>
    <w:rsid w:val="00C40EDB"/>
    <w:rsid w:val="00C40FDF"/>
    <w:rsid w:val="00C41119"/>
    <w:rsid w:val="00C41171"/>
    <w:rsid w:val="00C411CC"/>
    <w:rsid w:val="00C41481"/>
    <w:rsid w:val="00C414D7"/>
    <w:rsid w:val="00C417B2"/>
    <w:rsid w:val="00C419E3"/>
    <w:rsid w:val="00C41BE8"/>
    <w:rsid w:val="00C41BED"/>
    <w:rsid w:val="00C41C76"/>
    <w:rsid w:val="00C41C7F"/>
    <w:rsid w:val="00C41E09"/>
    <w:rsid w:val="00C42067"/>
    <w:rsid w:val="00C4229B"/>
    <w:rsid w:val="00C425E1"/>
    <w:rsid w:val="00C42695"/>
    <w:rsid w:val="00C42749"/>
    <w:rsid w:val="00C427BD"/>
    <w:rsid w:val="00C42A3A"/>
    <w:rsid w:val="00C42AA0"/>
    <w:rsid w:val="00C42F8F"/>
    <w:rsid w:val="00C42FC8"/>
    <w:rsid w:val="00C430A8"/>
    <w:rsid w:val="00C4313C"/>
    <w:rsid w:val="00C431E0"/>
    <w:rsid w:val="00C43AB9"/>
    <w:rsid w:val="00C43B64"/>
    <w:rsid w:val="00C43C99"/>
    <w:rsid w:val="00C441F4"/>
    <w:rsid w:val="00C4435F"/>
    <w:rsid w:val="00C44460"/>
    <w:rsid w:val="00C44861"/>
    <w:rsid w:val="00C44AB9"/>
    <w:rsid w:val="00C44C94"/>
    <w:rsid w:val="00C451FB"/>
    <w:rsid w:val="00C452B6"/>
    <w:rsid w:val="00C453C3"/>
    <w:rsid w:val="00C454DF"/>
    <w:rsid w:val="00C456DE"/>
    <w:rsid w:val="00C4575A"/>
    <w:rsid w:val="00C458FB"/>
    <w:rsid w:val="00C459D6"/>
    <w:rsid w:val="00C459F0"/>
    <w:rsid w:val="00C45A00"/>
    <w:rsid w:val="00C45C99"/>
    <w:rsid w:val="00C45E65"/>
    <w:rsid w:val="00C46028"/>
    <w:rsid w:val="00C460FD"/>
    <w:rsid w:val="00C4622A"/>
    <w:rsid w:val="00C4622F"/>
    <w:rsid w:val="00C4629F"/>
    <w:rsid w:val="00C466CD"/>
    <w:rsid w:val="00C466D4"/>
    <w:rsid w:val="00C46EA7"/>
    <w:rsid w:val="00C471C6"/>
    <w:rsid w:val="00C47447"/>
    <w:rsid w:val="00C4767A"/>
    <w:rsid w:val="00C476D9"/>
    <w:rsid w:val="00C4774E"/>
    <w:rsid w:val="00C47814"/>
    <w:rsid w:val="00C4782E"/>
    <w:rsid w:val="00C47F37"/>
    <w:rsid w:val="00C50057"/>
    <w:rsid w:val="00C500C7"/>
    <w:rsid w:val="00C500E3"/>
    <w:rsid w:val="00C50185"/>
    <w:rsid w:val="00C50294"/>
    <w:rsid w:val="00C504DE"/>
    <w:rsid w:val="00C50501"/>
    <w:rsid w:val="00C50539"/>
    <w:rsid w:val="00C506F1"/>
    <w:rsid w:val="00C50A51"/>
    <w:rsid w:val="00C50C13"/>
    <w:rsid w:val="00C50D01"/>
    <w:rsid w:val="00C50DD8"/>
    <w:rsid w:val="00C50DE6"/>
    <w:rsid w:val="00C51141"/>
    <w:rsid w:val="00C511E1"/>
    <w:rsid w:val="00C511F2"/>
    <w:rsid w:val="00C51765"/>
    <w:rsid w:val="00C517B5"/>
    <w:rsid w:val="00C5182A"/>
    <w:rsid w:val="00C51886"/>
    <w:rsid w:val="00C51A3C"/>
    <w:rsid w:val="00C51DE5"/>
    <w:rsid w:val="00C520ED"/>
    <w:rsid w:val="00C521AB"/>
    <w:rsid w:val="00C5255E"/>
    <w:rsid w:val="00C527FA"/>
    <w:rsid w:val="00C5294A"/>
    <w:rsid w:val="00C529EF"/>
    <w:rsid w:val="00C52DBF"/>
    <w:rsid w:val="00C53030"/>
    <w:rsid w:val="00C5337A"/>
    <w:rsid w:val="00C53D26"/>
    <w:rsid w:val="00C53D64"/>
    <w:rsid w:val="00C53E7C"/>
    <w:rsid w:val="00C53F3C"/>
    <w:rsid w:val="00C5420B"/>
    <w:rsid w:val="00C545E7"/>
    <w:rsid w:val="00C5468E"/>
    <w:rsid w:val="00C54739"/>
    <w:rsid w:val="00C5474E"/>
    <w:rsid w:val="00C54846"/>
    <w:rsid w:val="00C54B7E"/>
    <w:rsid w:val="00C54B81"/>
    <w:rsid w:val="00C54CF5"/>
    <w:rsid w:val="00C54EF5"/>
    <w:rsid w:val="00C550AE"/>
    <w:rsid w:val="00C55107"/>
    <w:rsid w:val="00C553C9"/>
    <w:rsid w:val="00C55758"/>
    <w:rsid w:val="00C558F9"/>
    <w:rsid w:val="00C55901"/>
    <w:rsid w:val="00C55D96"/>
    <w:rsid w:val="00C561C8"/>
    <w:rsid w:val="00C562E4"/>
    <w:rsid w:val="00C5630C"/>
    <w:rsid w:val="00C564E1"/>
    <w:rsid w:val="00C56700"/>
    <w:rsid w:val="00C56745"/>
    <w:rsid w:val="00C5676B"/>
    <w:rsid w:val="00C56959"/>
    <w:rsid w:val="00C56A54"/>
    <w:rsid w:val="00C56D39"/>
    <w:rsid w:val="00C56D51"/>
    <w:rsid w:val="00C571B0"/>
    <w:rsid w:val="00C57351"/>
    <w:rsid w:val="00C57427"/>
    <w:rsid w:val="00C5743C"/>
    <w:rsid w:val="00C574FB"/>
    <w:rsid w:val="00C57724"/>
    <w:rsid w:val="00C57A12"/>
    <w:rsid w:val="00C57A70"/>
    <w:rsid w:val="00C57B99"/>
    <w:rsid w:val="00C57E3D"/>
    <w:rsid w:val="00C57F80"/>
    <w:rsid w:val="00C60098"/>
    <w:rsid w:val="00C6029B"/>
    <w:rsid w:val="00C602AA"/>
    <w:rsid w:val="00C60313"/>
    <w:rsid w:val="00C609D7"/>
    <w:rsid w:val="00C60B25"/>
    <w:rsid w:val="00C60C66"/>
    <w:rsid w:val="00C60D90"/>
    <w:rsid w:val="00C61135"/>
    <w:rsid w:val="00C61193"/>
    <w:rsid w:val="00C6125D"/>
    <w:rsid w:val="00C613AA"/>
    <w:rsid w:val="00C61502"/>
    <w:rsid w:val="00C61609"/>
    <w:rsid w:val="00C616D9"/>
    <w:rsid w:val="00C61B33"/>
    <w:rsid w:val="00C61C25"/>
    <w:rsid w:val="00C61FC5"/>
    <w:rsid w:val="00C62866"/>
    <w:rsid w:val="00C62C03"/>
    <w:rsid w:val="00C63719"/>
    <w:rsid w:val="00C63AF0"/>
    <w:rsid w:val="00C63BFE"/>
    <w:rsid w:val="00C63DFE"/>
    <w:rsid w:val="00C63E6A"/>
    <w:rsid w:val="00C63E6C"/>
    <w:rsid w:val="00C63F7F"/>
    <w:rsid w:val="00C63FD2"/>
    <w:rsid w:val="00C64160"/>
    <w:rsid w:val="00C6418B"/>
    <w:rsid w:val="00C641E4"/>
    <w:rsid w:val="00C64243"/>
    <w:rsid w:val="00C6438E"/>
    <w:rsid w:val="00C643BA"/>
    <w:rsid w:val="00C643D2"/>
    <w:rsid w:val="00C64620"/>
    <w:rsid w:val="00C64701"/>
    <w:rsid w:val="00C648A0"/>
    <w:rsid w:val="00C649A4"/>
    <w:rsid w:val="00C64AA0"/>
    <w:rsid w:val="00C64AA4"/>
    <w:rsid w:val="00C64B7C"/>
    <w:rsid w:val="00C64D22"/>
    <w:rsid w:val="00C64F7B"/>
    <w:rsid w:val="00C65411"/>
    <w:rsid w:val="00C65475"/>
    <w:rsid w:val="00C65492"/>
    <w:rsid w:val="00C65535"/>
    <w:rsid w:val="00C65E96"/>
    <w:rsid w:val="00C65F39"/>
    <w:rsid w:val="00C65F8C"/>
    <w:rsid w:val="00C66091"/>
    <w:rsid w:val="00C66120"/>
    <w:rsid w:val="00C6614E"/>
    <w:rsid w:val="00C66248"/>
    <w:rsid w:val="00C662E6"/>
    <w:rsid w:val="00C663C2"/>
    <w:rsid w:val="00C66498"/>
    <w:rsid w:val="00C66549"/>
    <w:rsid w:val="00C666AC"/>
    <w:rsid w:val="00C666C5"/>
    <w:rsid w:val="00C6676E"/>
    <w:rsid w:val="00C6678E"/>
    <w:rsid w:val="00C668F9"/>
    <w:rsid w:val="00C669CC"/>
    <w:rsid w:val="00C66B04"/>
    <w:rsid w:val="00C66D65"/>
    <w:rsid w:val="00C66E0C"/>
    <w:rsid w:val="00C67256"/>
    <w:rsid w:val="00C674C9"/>
    <w:rsid w:val="00C675F3"/>
    <w:rsid w:val="00C67A6C"/>
    <w:rsid w:val="00C67C5E"/>
    <w:rsid w:val="00C70116"/>
    <w:rsid w:val="00C701D3"/>
    <w:rsid w:val="00C70371"/>
    <w:rsid w:val="00C703F5"/>
    <w:rsid w:val="00C7061A"/>
    <w:rsid w:val="00C706D7"/>
    <w:rsid w:val="00C70800"/>
    <w:rsid w:val="00C70AD7"/>
    <w:rsid w:val="00C70B84"/>
    <w:rsid w:val="00C70CCC"/>
    <w:rsid w:val="00C7143A"/>
    <w:rsid w:val="00C71633"/>
    <w:rsid w:val="00C71692"/>
    <w:rsid w:val="00C7195E"/>
    <w:rsid w:val="00C719B4"/>
    <w:rsid w:val="00C71B31"/>
    <w:rsid w:val="00C71B5A"/>
    <w:rsid w:val="00C71DFD"/>
    <w:rsid w:val="00C71E4D"/>
    <w:rsid w:val="00C71FBB"/>
    <w:rsid w:val="00C71FD0"/>
    <w:rsid w:val="00C71FFC"/>
    <w:rsid w:val="00C72353"/>
    <w:rsid w:val="00C7240F"/>
    <w:rsid w:val="00C724FC"/>
    <w:rsid w:val="00C72583"/>
    <w:rsid w:val="00C7277F"/>
    <w:rsid w:val="00C727A2"/>
    <w:rsid w:val="00C72A28"/>
    <w:rsid w:val="00C72C1D"/>
    <w:rsid w:val="00C72D6F"/>
    <w:rsid w:val="00C72D83"/>
    <w:rsid w:val="00C73016"/>
    <w:rsid w:val="00C733EB"/>
    <w:rsid w:val="00C734CA"/>
    <w:rsid w:val="00C7380E"/>
    <w:rsid w:val="00C7386D"/>
    <w:rsid w:val="00C73B14"/>
    <w:rsid w:val="00C73B5E"/>
    <w:rsid w:val="00C73C80"/>
    <w:rsid w:val="00C73E7B"/>
    <w:rsid w:val="00C73F3F"/>
    <w:rsid w:val="00C740F5"/>
    <w:rsid w:val="00C7421B"/>
    <w:rsid w:val="00C74239"/>
    <w:rsid w:val="00C743F9"/>
    <w:rsid w:val="00C745BA"/>
    <w:rsid w:val="00C74618"/>
    <w:rsid w:val="00C746BB"/>
    <w:rsid w:val="00C747E2"/>
    <w:rsid w:val="00C7480E"/>
    <w:rsid w:val="00C74986"/>
    <w:rsid w:val="00C74C01"/>
    <w:rsid w:val="00C74D73"/>
    <w:rsid w:val="00C74E8F"/>
    <w:rsid w:val="00C74EAD"/>
    <w:rsid w:val="00C75120"/>
    <w:rsid w:val="00C75946"/>
    <w:rsid w:val="00C75C4F"/>
    <w:rsid w:val="00C75C9D"/>
    <w:rsid w:val="00C75D2B"/>
    <w:rsid w:val="00C760FE"/>
    <w:rsid w:val="00C761E8"/>
    <w:rsid w:val="00C762CF"/>
    <w:rsid w:val="00C762EB"/>
    <w:rsid w:val="00C76318"/>
    <w:rsid w:val="00C763C6"/>
    <w:rsid w:val="00C7648E"/>
    <w:rsid w:val="00C76492"/>
    <w:rsid w:val="00C764A2"/>
    <w:rsid w:val="00C764C9"/>
    <w:rsid w:val="00C766F4"/>
    <w:rsid w:val="00C7692B"/>
    <w:rsid w:val="00C76B9A"/>
    <w:rsid w:val="00C76CD2"/>
    <w:rsid w:val="00C76E38"/>
    <w:rsid w:val="00C7712D"/>
    <w:rsid w:val="00C772CA"/>
    <w:rsid w:val="00C77464"/>
    <w:rsid w:val="00C77473"/>
    <w:rsid w:val="00C774F3"/>
    <w:rsid w:val="00C777BD"/>
    <w:rsid w:val="00C777F5"/>
    <w:rsid w:val="00C77882"/>
    <w:rsid w:val="00C77B17"/>
    <w:rsid w:val="00C77B2C"/>
    <w:rsid w:val="00C77CE0"/>
    <w:rsid w:val="00C77F7E"/>
    <w:rsid w:val="00C801E6"/>
    <w:rsid w:val="00C80268"/>
    <w:rsid w:val="00C803E6"/>
    <w:rsid w:val="00C804B3"/>
    <w:rsid w:val="00C80534"/>
    <w:rsid w:val="00C80753"/>
    <w:rsid w:val="00C808A7"/>
    <w:rsid w:val="00C80DD0"/>
    <w:rsid w:val="00C811B8"/>
    <w:rsid w:val="00C812D0"/>
    <w:rsid w:val="00C8130E"/>
    <w:rsid w:val="00C81A72"/>
    <w:rsid w:val="00C81B0A"/>
    <w:rsid w:val="00C81E26"/>
    <w:rsid w:val="00C82354"/>
    <w:rsid w:val="00C823B9"/>
    <w:rsid w:val="00C82A81"/>
    <w:rsid w:val="00C82B4E"/>
    <w:rsid w:val="00C82BE9"/>
    <w:rsid w:val="00C82ED7"/>
    <w:rsid w:val="00C8317F"/>
    <w:rsid w:val="00C831A1"/>
    <w:rsid w:val="00C83276"/>
    <w:rsid w:val="00C833F6"/>
    <w:rsid w:val="00C8368C"/>
    <w:rsid w:val="00C83735"/>
    <w:rsid w:val="00C83A4E"/>
    <w:rsid w:val="00C83BE8"/>
    <w:rsid w:val="00C83D15"/>
    <w:rsid w:val="00C83FE4"/>
    <w:rsid w:val="00C840A7"/>
    <w:rsid w:val="00C84290"/>
    <w:rsid w:val="00C8434F"/>
    <w:rsid w:val="00C84650"/>
    <w:rsid w:val="00C8468D"/>
    <w:rsid w:val="00C8489A"/>
    <w:rsid w:val="00C8494B"/>
    <w:rsid w:val="00C84F34"/>
    <w:rsid w:val="00C85231"/>
    <w:rsid w:val="00C8524F"/>
    <w:rsid w:val="00C85375"/>
    <w:rsid w:val="00C85528"/>
    <w:rsid w:val="00C855B2"/>
    <w:rsid w:val="00C85666"/>
    <w:rsid w:val="00C85925"/>
    <w:rsid w:val="00C85B80"/>
    <w:rsid w:val="00C85E0C"/>
    <w:rsid w:val="00C86050"/>
    <w:rsid w:val="00C860AF"/>
    <w:rsid w:val="00C8638C"/>
    <w:rsid w:val="00C86586"/>
    <w:rsid w:val="00C865F2"/>
    <w:rsid w:val="00C869F0"/>
    <w:rsid w:val="00C86B29"/>
    <w:rsid w:val="00C86BA7"/>
    <w:rsid w:val="00C86CDA"/>
    <w:rsid w:val="00C86D9F"/>
    <w:rsid w:val="00C86EF5"/>
    <w:rsid w:val="00C8714B"/>
    <w:rsid w:val="00C87327"/>
    <w:rsid w:val="00C87452"/>
    <w:rsid w:val="00C87913"/>
    <w:rsid w:val="00C87946"/>
    <w:rsid w:val="00C90086"/>
    <w:rsid w:val="00C90129"/>
    <w:rsid w:val="00C905EE"/>
    <w:rsid w:val="00C9060A"/>
    <w:rsid w:val="00C90684"/>
    <w:rsid w:val="00C9074F"/>
    <w:rsid w:val="00C90A04"/>
    <w:rsid w:val="00C90A5F"/>
    <w:rsid w:val="00C90A7D"/>
    <w:rsid w:val="00C90BFD"/>
    <w:rsid w:val="00C90D33"/>
    <w:rsid w:val="00C90FEA"/>
    <w:rsid w:val="00C91277"/>
    <w:rsid w:val="00C91354"/>
    <w:rsid w:val="00C91514"/>
    <w:rsid w:val="00C9164F"/>
    <w:rsid w:val="00C91682"/>
    <w:rsid w:val="00C91A8B"/>
    <w:rsid w:val="00C91AA5"/>
    <w:rsid w:val="00C91C79"/>
    <w:rsid w:val="00C91CE1"/>
    <w:rsid w:val="00C91F41"/>
    <w:rsid w:val="00C9206F"/>
    <w:rsid w:val="00C92072"/>
    <w:rsid w:val="00C9209F"/>
    <w:rsid w:val="00C926C0"/>
    <w:rsid w:val="00C92969"/>
    <w:rsid w:val="00C92BE2"/>
    <w:rsid w:val="00C93040"/>
    <w:rsid w:val="00C935C1"/>
    <w:rsid w:val="00C9360D"/>
    <w:rsid w:val="00C936B0"/>
    <w:rsid w:val="00C9374A"/>
    <w:rsid w:val="00C93786"/>
    <w:rsid w:val="00C938B4"/>
    <w:rsid w:val="00C93BA0"/>
    <w:rsid w:val="00C93C92"/>
    <w:rsid w:val="00C93CDF"/>
    <w:rsid w:val="00C94020"/>
    <w:rsid w:val="00C9411B"/>
    <w:rsid w:val="00C9428D"/>
    <w:rsid w:val="00C94468"/>
    <w:rsid w:val="00C94470"/>
    <w:rsid w:val="00C945CB"/>
    <w:rsid w:val="00C94901"/>
    <w:rsid w:val="00C9498B"/>
    <w:rsid w:val="00C95058"/>
    <w:rsid w:val="00C951DA"/>
    <w:rsid w:val="00C952A6"/>
    <w:rsid w:val="00C954D7"/>
    <w:rsid w:val="00C95573"/>
    <w:rsid w:val="00C959F1"/>
    <w:rsid w:val="00C95C07"/>
    <w:rsid w:val="00C95EA3"/>
    <w:rsid w:val="00C9605C"/>
    <w:rsid w:val="00C9628D"/>
    <w:rsid w:val="00C964A4"/>
    <w:rsid w:val="00C96637"/>
    <w:rsid w:val="00C966A9"/>
    <w:rsid w:val="00C966FC"/>
    <w:rsid w:val="00C9698C"/>
    <w:rsid w:val="00C96BD0"/>
    <w:rsid w:val="00C96CA8"/>
    <w:rsid w:val="00C96CDB"/>
    <w:rsid w:val="00C96D4B"/>
    <w:rsid w:val="00C96DF2"/>
    <w:rsid w:val="00C97072"/>
    <w:rsid w:val="00C9742D"/>
    <w:rsid w:val="00C9756E"/>
    <w:rsid w:val="00C97576"/>
    <w:rsid w:val="00C97651"/>
    <w:rsid w:val="00C976A4"/>
    <w:rsid w:val="00C97766"/>
    <w:rsid w:val="00C97831"/>
    <w:rsid w:val="00C978DC"/>
    <w:rsid w:val="00C979E7"/>
    <w:rsid w:val="00C97A45"/>
    <w:rsid w:val="00C97C3A"/>
    <w:rsid w:val="00C97CA2"/>
    <w:rsid w:val="00C97F97"/>
    <w:rsid w:val="00CA02E1"/>
    <w:rsid w:val="00CA069D"/>
    <w:rsid w:val="00CA086D"/>
    <w:rsid w:val="00CA092B"/>
    <w:rsid w:val="00CA0B5B"/>
    <w:rsid w:val="00CA0CAA"/>
    <w:rsid w:val="00CA0E76"/>
    <w:rsid w:val="00CA0FCD"/>
    <w:rsid w:val="00CA0FDF"/>
    <w:rsid w:val="00CA1551"/>
    <w:rsid w:val="00CA1908"/>
    <w:rsid w:val="00CA1965"/>
    <w:rsid w:val="00CA1B7E"/>
    <w:rsid w:val="00CA1C89"/>
    <w:rsid w:val="00CA1D41"/>
    <w:rsid w:val="00CA1E23"/>
    <w:rsid w:val="00CA1EF5"/>
    <w:rsid w:val="00CA22F0"/>
    <w:rsid w:val="00CA24DF"/>
    <w:rsid w:val="00CA25A9"/>
    <w:rsid w:val="00CA2676"/>
    <w:rsid w:val="00CA270E"/>
    <w:rsid w:val="00CA2724"/>
    <w:rsid w:val="00CA284C"/>
    <w:rsid w:val="00CA2B6A"/>
    <w:rsid w:val="00CA2CB4"/>
    <w:rsid w:val="00CA2D2D"/>
    <w:rsid w:val="00CA2DAA"/>
    <w:rsid w:val="00CA2DCA"/>
    <w:rsid w:val="00CA2E9A"/>
    <w:rsid w:val="00CA3068"/>
    <w:rsid w:val="00CA320C"/>
    <w:rsid w:val="00CA3350"/>
    <w:rsid w:val="00CA3356"/>
    <w:rsid w:val="00CA35BC"/>
    <w:rsid w:val="00CA35DD"/>
    <w:rsid w:val="00CA3860"/>
    <w:rsid w:val="00CA38DA"/>
    <w:rsid w:val="00CA3AE8"/>
    <w:rsid w:val="00CA3D71"/>
    <w:rsid w:val="00CA3F08"/>
    <w:rsid w:val="00CA3FCE"/>
    <w:rsid w:val="00CA42B6"/>
    <w:rsid w:val="00CA4342"/>
    <w:rsid w:val="00CA438E"/>
    <w:rsid w:val="00CA4440"/>
    <w:rsid w:val="00CA4457"/>
    <w:rsid w:val="00CA4505"/>
    <w:rsid w:val="00CA45F2"/>
    <w:rsid w:val="00CA482B"/>
    <w:rsid w:val="00CA48EA"/>
    <w:rsid w:val="00CA4E86"/>
    <w:rsid w:val="00CA4F7F"/>
    <w:rsid w:val="00CA5234"/>
    <w:rsid w:val="00CA523C"/>
    <w:rsid w:val="00CA549D"/>
    <w:rsid w:val="00CA558F"/>
    <w:rsid w:val="00CA5692"/>
    <w:rsid w:val="00CA56EF"/>
    <w:rsid w:val="00CA57C0"/>
    <w:rsid w:val="00CA58BF"/>
    <w:rsid w:val="00CA593E"/>
    <w:rsid w:val="00CA5C5F"/>
    <w:rsid w:val="00CA5F38"/>
    <w:rsid w:val="00CA5FEF"/>
    <w:rsid w:val="00CA6032"/>
    <w:rsid w:val="00CA6096"/>
    <w:rsid w:val="00CA60E6"/>
    <w:rsid w:val="00CA6166"/>
    <w:rsid w:val="00CA62B4"/>
    <w:rsid w:val="00CA640E"/>
    <w:rsid w:val="00CA64C0"/>
    <w:rsid w:val="00CA6627"/>
    <w:rsid w:val="00CA6795"/>
    <w:rsid w:val="00CA6ABB"/>
    <w:rsid w:val="00CA6DE7"/>
    <w:rsid w:val="00CA6FB3"/>
    <w:rsid w:val="00CA7008"/>
    <w:rsid w:val="00CA715B"/>
    <w:rsid w:val="00CA72AF"/>
    <w:rsid w:val="00CA72D8"/>
    <w:rsid w:val="00CA7410"/>
    <w:rsid w:val="00CA75C8"/>
    <w:rsid w:val="00CA762F"/>
    <w:rsid w:val="00CA773B"/>
    <w:rsid w:val="00CA77AA"/>
    <w:rsid w:val="00CA7A0B"/>
    <w:rsid w:val="00CA7A3A"/>
    <w:rsid w:val="00CA7BFE"/>
    <w:rsid w:val="00CA7F05"/>
    <w:rsid w:val="00CA7F0B"/>
    <w:rsid w:val="00CB0074"/>
    <w:rsid w:val="00CB0091"/>
    <w:rsid w:val="00CB02A9"/>
    <w:rsid w:val="00CB0307"/>
    <w:rsid w:val="00CB036B"/>
    <w:rsid w:val="00CB0375"/>
    <w:rsid w:val="00CB06B1"/>
    <w:rsid w:val="00CB07EB"/>
    <w:rsid w:val="00CB08B9"/>
    <w:rsid w:val="00CB0918"/>
    <w:rsid w:val="00CB09DE"/>
    <w:rsid w:val="00CB0A7F"/>
    <w:rsid w:val="00CB101E"/>
    <w:rsid w:val="00CB1112"/>
    <w:rsid w:val="00CB1158"/>
    <w:rsid w:val="00CB1321"/>
    <w:rsid w:val="00CB133F"/>
    <w:rsid w:val="00CB13FD"/>
    <w:rsid w:val="00CB1565"/>
    <w:rsid w:val="00CB166A"/>
    <w:rsid w:val="00CB18DB"/>
    <w:rsid w:val="00CB1A37"/>
    <w:rsid w:val="00CB1DAD"/>
    <w:rsid w:val="00CB1E78"/>
    <w:rsid w:val="00CB1F5C"/>
    <w:rsid w:val="00CB2450"/>
    <w:rsid w:val="00CB2579"/>
    <w:rsid w:val="00CB2A5F"/>
    <w:rsid w:val="00CB2B26"/>
    <w:rsid w:val="00CB2C21"/>
    <w:rsid w:val="00CB2D7A"/>
    <w:rsid w:val="00CB318A"/>
    <w:rsid w:val="00CB332B"/>
    <w:rsid w:val="00CB342F"/>
    <w:rsid w:val="00CB36F7"/>
    <w:rsid w:val="00CB388B"/>
    <w:rsid w:val="00CB3967"/>
    <w:rsid w:val="00CB39BB"/>
    <w:rsid w:val="00CB3A4C"/>
    <w:rsid w:val="00CB3AED"/>
    <w:rsid w:val="00CB3B66"/>
    <w:rsid w:val="00CB3B87"/>
    <w:rsid w:val="00CB3D1B"/>
    <w:rsid w:val="00CB3D1C"/>
    <w:rsid w:val="00CB3D4F"/>
    <w:rsid w:val="00CB3DCB"/>
    <w:rsid w:val="00CB3DD7"/>
    <w:rsid w:val="00CB4102"/>
    <w:rsid w:val="00CB46BC"/>
    <w:rsid w:val="00CB49E9"/>
    <w:rsid w:val="00CB4A2C"/>
    <w:rsid w:val="00CB4D7B"/>
    <w:rsid w:val="00CB4DE4"/>
    <w:rsid w:val="00CB4DF2"/>
    <w:rsid w:val="00CB5088"/>
    <w:rsid w:val="00CB5223"/>
    <w:rsid w:val="00CB5467"/>
    <w:rsid w:val="00CB5474"/>
    <w:rsid w:val="00CB54ED"/>
    <w:rsid w:val="00CB5717"/>
    <w:rsid w:val="00CB575F"/>
    <w:rsid w:val="00CB5B80"/>
    <w:rsid w:val="00CB5C49"/>
    <w:rsid w:val="00CB5E63"/>
    <w:rsid w:val="00CB63A7"/>
    <w:rsid w:val="00CB646A"/>
    <w:rsid w:val="00CB6937"/>
    <w:rsid w:val="00CB695F"/>
    <w:rsid w:val="00CB6B2F"/>
    <w:rsid w:val="00CB6D91"/>
    <w:rsid w:val="00CB6E46"/>
    <w:rsid w:val="00CB6FA1"/>
    <w:rsid w:val="00CB70FE"/>
    <w:rsid w:val="00CB7178"/>
    <w:rsid w:val="00CB720F"/>
    <w:rsid w:val="00CB7247"/>
    <w:rsid w:val="00CB730D"/>
    <w:rsid w:val="00CB75E4"/>
    <w:rsid w:val="00CB7635"/>
    <w:rsid w:val="00CB773D"/>
    <w:rsid w:val="00CB777A"/>
    <w:rsid w:val="00CB78B0"/>
    <w:rsid w:val="00CB7BC8"/>
    <w:rsid w:val="00CB7E9D"/>
    <w:rsid w:val="00CB7FBE"/>
    <w:rsid w:val="00CC02C9"/>
    <w:rsid w:val="00CC05D1"/>
    <w:rsid w:val="00CC0B3A"/>
    <w:rsid w:val="00CC0C01"/>
    <w:rsid w:val="00CC0CAF"/>
    <w:rsid w:val="00CC0E7B"/>
    <w:rsid w:val="00CC14C9"/>
    <w:rsid w:val="00CC17AA"/>
    <w:rsid w:val="00CC18B2"/>
    <w:rsid w:val="00CC19EB"/>
    <w:rsid w:val="00CC1AB8"/>
    <w:rsid w:val="00CC1C46"/>
    <w:rsid w:val="00CC1DAF"/>
    <w:rsid w:val="00CC1DB0"/>
    <w:rsid w:val="00CC1EEB"/>
    <w:rsid w:val="00CC1FE9"/>
    <w:rsid w:val="00CC2167"/>
    <w:rsid w:val="00CC2250"/>
    <w:rsid w:val="00CC23C1"/>
    <w:rsid w:val="00CC2490"/>
    <w:rsid w:val="00CC2772"/>
    <w:rsid w:val="00CC290E"/>
    <w:rsid w:val="00CC2A4C"/>
    <w:rsid w:val="00CC2C5B"/>
    <w:rsid w:val="00CC2D3E"/>
    <w:rsid w:val="00CC2D3F"/>
    <w:rsid w:val="00CC2F56"/>
    <w:rsid w:val="00CC2F76"/>
    <w:rsid w:val="00CC3487"/>
    <w:rsid w:val="00CC35F5"/>
    <w:rsid w:val="00CC36AF"/>
    <w:rsid w:val="00CC3A13"/>
    <w:rsid w:val="00CC4162"/>
    <w:rsid w:val="00CC427E"/>
    <w:rsid w:val="00CC4338"/>
    <w:rsid w:val="00CC4460"/>
    <w:rsid w:val="00CC447F"/>
    <w:rsid w:val="00CC44B6"/>
    <w:rsid w:val="00CC45F0"/>
    <w:rsid w:val="00CC4742"/>
    <w:rsid w:val="00CC4753"/>
    <w:rsid w:val="00CC47E6"/>
    <w:rsid w:val="00CC4BD2"/>
    <w:rsid w:val="00CC4C57"/>
    <w:rsid w:val="00CC4D02"/>
    <w:rsid w:val="00CC4D39"/>
    <w:rsid w:val="00CC5498"/>
    <w:rsid w:val="00CC5566"/>
    <w:rsid w:val="00CC591E"/>
    <w:rsid w:val="00CC5A64"/>
    <w:rsid w:val="00CC5B0C"/>
    <w:rsid w:val="00CC5B7B"/>
    <w:rsid w:val="00CC5C84"/>
    <w:rsid w:val="00CC5F31"/>
    <w:rsid w:val="00CC6000"/>
    <w:rsid w:val="00CC6124"/>
    <w:rsid w:val="00CC6374"/>
    <w:rsid w:val="00CC6511"/>
    <w:rsid w:val="00CC6614"/>
    <w:rsid w:val="00CC66A2"/>
    <w:rsid w:val="00CC67D4"/>
    <w:rsid w:val="00CC690C"/>
    <w:rsid w:val="00CC6A35"/>
    <w:rsid w:val="00CC6A98"/>
    <w:rsid w:val="00CC6EF9"/>
    <w:rsid w:val="00CC70C0"/>
    <w:rsid w:val="00CC7120"/>
    <w:rsid w:val="00CC747E"/>
    <w:rsid w:val="00CC75B7"/>
    <w:rsid w:val="00CC7857"/>
    <w:rsid w:val="00CC78E9"/>
    <w:rsid w:val="00CC7921"/>
    <w:rsid w:val="00CC79D3"/>
    <w:rsid w:val="00CC7AC9"/>
    <w:rsid w:val="00CC7B0B"/>
    <w:rsid w:val="00CC7E61"/>
    <w:rsid w:val="00CD04FD"/>
    <w:rsid w:val="00CD078D"/>
    <w:rsid w:val="00CD0846"/>
    <w:rsid w:val="00CD0B02"/>
    <w:rsid w:val="00CD0C5F"/>
    <w:rsid w:val="00CD0CE5"/>
    <w:rsid w:val="00CD0F6C"/>
    <w:rsid w:val="00CD16EA"/>
    <w:rsid w:val="00CD18A2"/>
    <w:rsid w:val="00CD18B1"/>
    <w:rsid w:val="00CD198A"/>
    <w:rsid w:val="00CD1A4D"/>
    <w:rsid w:val="00CD1AE8"/>
    <w:rsid w:val="00CD1C9A"/>
    <w:rsid w:val="00CD1E4F"/>
    <w:rsid w:val="00CD1F03"/>
    <w:rsid w:val="00CD1F1C"/>
    <w:rsid w:val="00CD1FE8"/>
    <w:rsid w:val="00CD2147"/>
    <w:rsid w:val="00CD2166"/>
    <w:rsid w:val="00CD2203"/>
    <w:rsid w:val="00CD226D"/>
    <w:rsid w:val="00CD2371"/>
    <w:rsid w:val="00CD2919"/>
    <w:rsid w:val="00CD2C14"/>
    <w:rsid w:val="00CD2C72"/>
    <w:rsid w:val="00CD2D74"/>
    <w:rsid w:val="00CD2DB0"/>
    <w:rsid w:val="00CD304A"/>
    <w:rsid w:val="00CD30DA"/>
    <w:rsid w:val="00CD341A"/>
    <w:rsid w:val="00CD34C3"/>
    <w:rsid w:val="00CD3593"/>
    <w:rsid w:val="00CD3621"/>
    <w:rsid w:val="00CD39E8"/>
    <w:rsid w:val="00CD3DA3"/>
    <w:rsid w:val="00CD3FA5"/>
    <w:rsid w:val="00CD402F"/>
    <w:rsid w:val="00CD42B3"/>
    <w:rsid w:val="00CD44DD"/>
    <w:rsid w:val="00CD45D3"/>
    <w:rsid w:val="00CD4661"/>
    <w:rsid w:val="00CD4741"/>
    <w:rsid w:val="00CD4A76"/>
    <w:rsid w:val="00CD4B52"/>
    <w:rsid w:val="00CD507E"/>
    <w:rsid w:val="00CD50AC"/>
    <w:rsid w:val="00CD5459"/>
    <w:rsid w:val="00CD583E"/>
    <w:rsid w:val="00CD5A45"/>
    <w:rsid w:val="00CD5A68"/>
    <w:rsid w:val="00CD5B92"/>
    <w:rsid w:val="00CD5FEC"/>
    <w:rsid w:val="00CD612D"/>
    <w:rsid w:val="00CD6401"/>
    <w:rsid w:val="00CD7173"/>
    <w:rsid w:val="00CD7303"/>
    <w:rsid w:val="00CD7601"/>
    <w:rsid w:val="00CD773A"/>
    <w:rsid w:val="00CD7801"/>
    <w:rsid w:val="00CD7A36"/>
    <w:rsid w:val="00CD7C0D"/>
    <w:rsid w:val="00CD7FD7"/>
    <w:rsid w:val="00CE03F2"/>
    <w:rsid w:val="00CE05BF"/>
    <w:rsid w:val="00CE05D4"/>
    <w:rsid w:val="00CE0604"/>
    <w:rsid w:val="00CE0951"/>
    <w:rsid w:val="00CE10C4"/>
    <w:rsid w:val="00CE1289"/>
    <w:rsid w:val="00CE13D9"/>
    <w:rsid w:val="00CE150B"/>
    <w:rsid w:val="00CE1C38"/>
    <w:rsid w:val="00CE1C6D"/>
    <w:rsid w:val="00CE1C90"/>
    <w:rsid w:val="00CE1EC5"/>
    <w:rsid w:val="00CE20A5"/>
    <w:rsid w:val="00CE22B3"/>
    <w:rsid w:val="00CE25DB"/>
    <w:rsid w:val="00CE2945"/>
    <w:rsid w:val="00CE2B7A"/>
    <w:rsid w:val="00CE2C72"/>
    <w:rsid w:val="00CE3005"/>
    <w:rsid w:val="00CE32E0"/>
    <w:rsid w:val="00CE33DC"/>
    <w:rsid w:val="00CE358B"/>
    <w:rsid w:val="00CE3CC2"/>
    <w:rsid w:val="00CE3E94"/>
    <w:rsid w:val="00CE43B5"/>
    <w:rsid w:val="00CE464F"/>
    <w:rsid w:val="00CE4666"/>
    <w:rsid w:val="00CE494B"/>
    <w:rsid w:val="00CE4A06"/>
    <w:rsid w:val="00CE4A5D"/>
    <w:rsid w:val="00CE4AAE"/>
    <w:rsid w:val="00CE4BE6"/>
    <w:rsid w:val="00CE4FB8"/>
    <w:rsid w:val="00CE502B"/>
    <w:rsid w:val="00CE5048"/>
    <w:rsid w:val="00CE5235"/>
    <w:rsid w:val="00CE53C8"/>
    <w:rsid w:val="00CE5891"/>
    <w:rsid w:val="00CE5B1E"/>
    <w:rsid w:val="00CE5DB6"/>
    <w:rsid w:val="00CE5DBC"/>
    <w:rsid w:val="00CE60FC"/>
    <w:rsid w:val="00CE6292"/>
    <w:rsid w:val="00CE62A4"/>
    <w:rsid w:val="00CE6539"/>
    <w:rsid w:val="00CE6AA0"/>
    <w:rsid w:val="00CE6B64"/>
    <w:rsid w:val="00CE6BE5"/>
    <w:rsid w:val="00CE6E54"/>
    <w:rsid w:val="00CE7024"/>
    <w:rsid w:val="00CE7344"/>
    <w:rsid w:val="00CE7359"/>
    <w:rsid w:val="00CE7475"/>
    <w:rsid w:val="00CE74B2"/>
    <w:rsid w:val="00CE74C9"/>
    <w:rsid w:val="00CE7775"/>
    <w:rsid w:val="00CE7935"/>
    <w:rsid w:val="00CE79E2"/>
    <w:rsid w:val="00CE7A2C"/>
    <w:rsid w:val="00CE7A3D"/>
    <w:rsid w:val="00CE7A94"/>
    <w:rsid w:val="00CE7AC1"/>
    <w:rsid w:val="00CE7BA3"/>
    <w:rsid w:val="00CE7F2D"/>
    <w:rsid w:val="00CE7F83"/>
    <w:rsid w:val="00CF005D"/>
    <w:rsid w:val="00CF01D6"/>
    <w:rsid w:val="00CF02D3"/>
    <w:rsid w:val="00CF02DF"/>
    <w:rsid w:val="00CF03E7"/>
    <w:rsid w:val="00CF043F"/>
    <w:rsid w:val="00CF0440"/>
    <w:rsid w:val="00CF047E"/>
    <w:rsid w:val="00CF0562"/>
    <w:rsid w:val="00CF05E5"/>
    <w:rsid w:val="00CF0628"/>
    <w:rsid w:val="00CF06F2"/>
    <w:rsid w:val="00CF09D9"/>
    <w:rsid w:val="00CF0A12"/>
    <w:rsid w:val="00CF0D4E"/>
    <w:rsid w:val="00CF0DC5"/>
    <w:rsid w:val="00CF0E04"/>
    <w:rsid w:val="00CF0E6F"/>
    <w:rsid w:val="00CF1348"/>
    <w:rsid w:val="00CF1647"/>
    <w:rsid w:val="00CF16A1"/>
    <w:rsid w:val="00CF177A"/>
    <w:rsid w:val="00CF17D3"/>
    <w:rsid w:val="00CF1850"/>
    <w:rsid w:val="00CF1890"/>
    <w:rsid w:val="00CF19C5"/>
    <w:rsid w:val="00CF19D7"/>
    <w:rsid w:val="00CF1BAE"/>
    <w:rsid w:val="00CF1E7C"/>
    <w:rsid w:val="00CF1F9B"/>
    <w:rsid w:val="00CF21AE"/>
    <w:rsid w:val="00CF22E1"/>
    <w:rsid w:val="00CF22ED"/>
    <w:rsid w:val="00CF26DF"/>
    <w:rsid w:val="00CF28BB"/>
    <w:rsid w:val="00CF2977"/>
    <w:rsid w:val="00CF2C01"/>
    <w:rsid w:val="00CF2C32"/>
    <w:rsid w:val="00CF2E95"/>
    <w:rsid w:val="00CF2F11"/>
    <w:rsid w:val="00CF31E4"/>
    <w:rsid w:val="00CF346E"/>
    <w:rsid w:val="00CF37F4"/>
    <w:rsid w:val="00CF38B0"/>
    <w:rsid w:val="00CF39BD"/>
    <w:rsid w:val="00CF3AA9"/>
    <w:rsid w:val="00CF3AF3"/>
    <w:rsid w:val="00CF3BDA"/>
    <w:rsid w:val="00CF3C13"/>
    <w:rsid w:val="00CF3D63"/>
    <w:rsid w:val="00CF3DE3"/>
    <w:rsid w:val="00CF40FC"/>
    <w:rsid w:val="00CF4207"/>
    <w:rsid w:val="00CF451E"/>
    <w:rsid w:val="00CF4828"/>
    <w:rsid w:val="00CF4CE4"/>
    <w:rsid w:val="00CF4E2C"/>
    <w:rsid w:val="00CF4E3E"/>
    <w:rsid w:val="00CF4F01"/>
    <w:rsid w:val="00CF51D1"/>
    <w:rsid w:val="00CF51EA"/>
    <w:rsid w:val="00CF52E7"/>
    <w:rsid w:val="00CF55AC"/>
    <w:rsid w:val="00CF57C4"/>
    <w:rsid w:val="00CF5880"/>
    <w:rsid w:val="00CF5E58"/>
    <w:rsid w:val="00CF62C8"/>
    <w:rsid w:val="00CF6804"/>
    <w:rsid w:val="00CF68A1"/>
    <w:rsid w:val="00CF6969"/>
    <w:rsid w:val="00CF6CE1"/>
    <w:rsid w:val="00CF7566"/>
    <w:rsid w:val="00CF7688"/>
    <w:rsid w:val="00CF772D"/>
    <w:rsid w:val="00CF78DA"/>
    <w:rsid w:val="00CF79CB"/>
    <w:rsid w:val="00CF7CAA"/>
    <w:rsid w:val="00CF7D4B"/>
    <w:rsid w:val="00CF7DA2"/>
    <w:rsid w:val="00CF7E33"/>
    <w:rsid w:val="00D00052"/>
    <w:rsid w:val="00D00303"/>
    <w:rsid w:val="00D0048D"/>
    <w:rsid w:val="00D00A43"/>
    <w:rsid w:val="00D00DF6"/>
    <w:rsid w:val="00D01059"/>
    <w:rsid w:val="00D012B1"/>
    <w:rsid w:val="00D014B3"/>
    <w:rsid w:val="00D01593"/>
    <w:rsid w:val="00D016EE"/>
    <w:rsid w:val="00D01992"/>
    <w:rsid w:val="00D01CBF"/>
    <w:rsid w:val="00D01F53"/>
    <w:rsid w:val="00D020EC"/>
    <w:rsid w:val="00D021AC"/>
    <w:rsid w:val="00D022D0"/>
    <w:rsid w:val="00D022E0"/>
    <w:rsid w:val="00D02AC5"/>
    <w:rsid w:val="00D02B68"/>
    <w:rsid w:val="00D02DC4"/>
    <w:rsid w:val="00D03063"/>
    <w:rsid w:val="00D03188"/>
    <w:rsid w:val="00D03215"/>
    <w:rsid w:val="00D034C8"/>
    <w:rsid w:val="00D036C0"/>
    <w:rsid w:val="00D039F8"/>
    <w:rsid w:val="00D03A6E"/>
    <w:rsid w:val="00D03ACD"/>
    <w:rsid w:val="00D03C51"/>
    <w:rsid w:val="00D03D18"/>
    <w:rsid w:val="00D03F6C"/>
    <w:rsid w:val="00D04138"/>
    <w:rsid w:val="00D04428"/>
    <w:rsid w:val="00D04882"/>
    <w:rsid w:val="00D048A5"/>
    <w:rsid w:val="00D0497B"/>
    <w:rsid w:val="00D04A37"/>
    <w:rsid w:val="00D04D1D"/>
    <w:rsid w:val="00D04D31"/>
    <w:rsid w:val="00D04E17"/>
    <w:rsid w:val="00D0536F"/>
    <w:rsid w:val="00D054FA"/>
    <w:rsid w:val="00D05515"/>
    <w:rsid w:val="00D056DE"/>
    <w:rsid w:val="00D056FB"/>
    <w:rsid w:val="00D057D3"/>
    <w:rsid w:val="00D057F4"/>
    <w:rsid w:val="00D057FC"/>
    <w:rsid w:val="00D05BB1"/>
    <w:rsid w:val="00D05C63"/>
    <w:rsid w:val="00D062AB"/>
    <w:rsid w:val="00D062CE"/>
    <w:rsid w:val="00D06453"/>
    <w:rsid w:val="00D0653F"/>
    <w:rsid w:val="00D06670"/>
    <w:rsid w:val="00D067FD"/>
    <w:rsid w:val="00D06A04"/>
    <w:rsid w:val="00D06A85"/>
    <w:rsid w:val="00D06EE1"/>
    <w:rsid w:val="00D070D7"/>
    <w:rsid w:val="00D078FA"/>
    <w:rsid w:val="00D07966"/>
    <w:rsid w:val="00D07AC6"/>
    <w:rsid w:val="00D07B31"/>
    <w:rsid w:val="00D07C4A"/>
    <w:rsid w:val="00D07C96"/>
    <w:rsid w:val="00D07EC6"/>
    <w:rsid w:val="00D103F3"/>
    <w:rsid w:val="00D1042A"/>
    <w:rsid w:val="00D106E2"/>
    <w:rsid w:val="00D10975"/>
    <w:rsid w:val="00D10BAC"/>
    <w:rsid w:val="00D10C9F"/>
    <w:rsid w:val="00D10CD2"/>
    <w:rsid w:val="00D10CE1"/>
    <w:rsid w:val="00D10CED"/>
    <w:rsid w:val="00D110ED"/>
    <w:rsid w:val="00D112AB"/>
    <w:rsid w:val="00D112F8"/>
    <w:rsid w:val="00D11374"/>
    <w:rsid w:val="00D11615"/>
    <w:rsid w:val="00D11CB1"/>
    <w:rsid w:val="00D11CB2"/>
    <w:rsid w:val="00D11D67"/>
    <w:rsid w:val="00D11E11"/>
    <w:rsid w:val="00D11FFD"/>
    <w:rsid w:val="00D1220D"/>
    <w:rsid w:val="00D12467"/>
    <w:rsid w:val="00D125CA"/>
    <w:rsid w:val="00D12696"/>
    <w:rsid w:val="00D12841"/>
    <w:rsid w:val="00D128D7"/>
    <w:rsid w:val="00D129FA"/>
    <w:rsid w:val="00D12FEF"/>
    <w:rsid w:val="00D13450"/>
    <w:rsid w:val="00D13523"/>
    <w:rsid w:val="00D13914"/>
    <w:rsid w:val="00D13CF9"/>
    <w:rsid w:val="00D13E1E"/>
    <w:rsid w:val="00D13FD6"/>
    <w:rsid w:val="00D142B9"/>
    <w:rsid w:val="00D145C1"/>
    <w:rsid w:val="00D145FB"/>
    <w:rsid w:val="00D1461C"/>
    <w:rsid w:val="00D14636"/>
    <w:rsid w:val="00D1470A"/>
    <w:rsid w:val="00D14739"/>
    <w:rsid w:val="00D148CF"/>
    <w:rsid w:val="00D14A4A"/>
    <w:rsid w:val="00D14B16"/>
    <w:rsid w:val="00D14B5A"/>
    <w:rsid w:val="00D14D75"/>
    <w:rsid w:val="00D14F19"/>
    <w:rsid w:val="00D14F94"/>
    <w:rsid w:val="00D151E2"/>
    <w:rsid w:val="00D1521D"/>
    <w:rsid w:val="00D15266"/>
    <w:rsid w:val="00D152E7"/>
    <w:rsid w:val="00D153F9"/>
    <w:rsid w:val="00D1558F"/>
    <w:rsid w:val="00D1563E"/>
    <w:rsid w:val="00D1570C"/>
    <w:rsid w:val="00D15799"/>
    <w:rsid w:val="00D15860"/>
    <w:rsid w:val="00D158C9"/>
    <w:rsid w:val="00D159E6"/>
    <w:rsid w:val="00D159FB"/>
    <w:rsid w:val="00D15AF8"/>
    <w:rsid w:val="00D15B77"/>
    <w:rsid w:val="00D15FD7"/>
    <w:rsid w:val="00D163A5"/>
    <w:rsid w:val="00D163F3"/>
    <w:rsid w:val="00D16611"/>
    <w:rsid w:val="00D168CB"/>
    <w:rsid w:val="00D16A18"/>
    <w:rsid w:val="00D16B33"/>
    <w:rsid w:val="00D16B77"/>
    <w:rsid w:val="00D17380"/>
    <w:rsid w:val="00D1739A"/>
    <w:rsid w:val="00D17492"/>
    <w:rsid w:val="00D174C3"/>
    <w:rsid w:val="00D176DE"/>
    <w:rsid w:val="00D1773E"/>
    <w:rsid w:val="00D17851"/>
    <w:rsid w:val="00D17994"/>
    <w:rsid w:val="00D179AE"/>
    <w:rsid w:val="00D17CB0"/>
    <w:rsid w:val="00D17E2C"/>
    <w:rsid w:val="00D17E90"/>
    <w:rsid w:val="00D17FDD"/>
    <w:rsid w:val="00D201C7"/>
    <w:rsid w:val="00D201D9"/>
    <w:rsid w:val="00D201E3"/>
    <w:rsid w:val="00D20358"/>
    <w:rsid w:val="00D2038D"/>
    <w:rsid w:val="00D20B2D"/>
    <w:rsid w:val="00D20C77"/>
    <w:rsid w:val="00D20E66"/>
    <w:rsid w:val="00D21336"/>
    <w:rsid w:val="00D21737"/>
    <w:rsid w:val="00D21786"/>
    <w:rsid w:val="00D217F2"/>
    <w:rsid w:val="00D2198D"/>
    <w:rsid w:val="00D21A2D"/>
    <w:rsid w:val="00D21BF8"/>
    <w:rsid w:val="00D21C1F"/>
    <w:rsid w:val="00D21D52"/>
    <w:rsid w:val="00D21EE9"/>
    <w:rsid w:val="00D21F80"/>
    <w:rsid w:val="00D2209E"/>
    <w:rsid w:val="00D221BE"/>
    <w:rsid w:val="00D22314"/>
    <w:rsid w:val="00D2234C"/>
    <w:rsid w:val="00D223CD"/>
    <w:rsid w:val="00D2245D"/>
    <w:rsid w:val="00D224F7"/>
    <w:rsid w:val="00D22820"/>
    <w:rsid w:val="00D22BD9"/>
    <w:rsid w:val="00D22D27"/>
    <w:rsid w:val="00D22DF8"/>
    <w:rsid w:val="00D23098"/>
    <w:rsid w:val="00D231F9"/>
    <w:rsid w:val="00D2331B"/>
    <w:rsid w:val="00D23496"/>
    <w:rsid w:val="00D235DE"/>
    <w:rsid w:val="00D23685"/>
    <w:rsid w:val="00D2370A"/>
    <w:rsid w:val="00D23813"/>
    <w:rsid w:val="00D23820"/>
    <w:rsid w:val="00D239B0"/>
    <w:rsid w:val="00D23AA0"/>
    <w:rsid w:val="00D23BFB"/>
    <w:rsid w:val="00D23D6E"/>
    <w:rsid w:val="00D23D95"/>
    <w:rsid w:val="00D23DA6"/>
    <w:rsid w:val="00D23E70"/>
    <w:rsid w:val="00D23FC5"/>
    <w:rsid w:val="00D24032"/>
    <w:rsid w:val="00D240C3"/>
    <w:rsid w:val="00D244EB"/>
    <w:rsid w:val="00D2452F"/>
    <w:rsid w:val="00D24567"/>
    <w:rsid w:val="00D24578"/>
    <w:rsid w:val="00D247AC"/>
    <w:rsid w:val="00D24833"/>
    <w:rsid w:val="00D249C3"/>
    <w:rsid w:val="00D24CC4"/>
    <w:rsid w:val="00D24D7B"/>
    <w:rsid w:val="00D24FA8"/>
    <w:rsid w:val="00D25766"/>
    <w:rsid w:val="00D2585F"/>
    <w:rsid w:val="00D25958"/>
    <w:rsid w:val="00D26181"/>
    <w:rsid w:val="00D26194"/>
    <w:rsid w:val="00D261EA"/>
    <w:rsid w:val="00D263DB"/>
    <w:rsid w:val="00D26633"/>
    <w:rsid w:val="00D26684"/>
    <w:rsid w:val="00D26750"/>
    <w:rsid w:val="00D2678E"/>
    <w:rsid w:val="00D2679B"/>
    <w:rsid w:val="00D26AAA"/>
    <w:rsid w:val="00D26BD7"/>
    <w:rsid w:val="00D26D28"/>
    <w:rsid w:val="00D26D39"/>
    <w:rsid w:val="00D26D5B"/>
    <w:rsid w:val="00D26E57"/>
    <w:rsid w:val="00D26F45"/>
    <w:rsid w:val="00D27110"/>
    <w:rsid w:val="00D2712B"/>
    <w:rsid w:val="00D271C0"/>
    <w:rsid w:val="00D271D0"/>
    <w:rsid w:val="00D271FC"/>
    <w:rsid w:val="00D2738A"/>
    <w:rsid w:val="00D273DC"/>
    <w:rsid w:val="00D27561"/>
    <w:rsid w:val="00D27673"/>
    <w:rsid w:val="00D276EF"/>
    <w:rsid w:val="00D2772E"/>
    <w:rsid w:val="00D27AB8"/>
    <w:rsid w:val="00D27B66"/>
    <w:rsid w:val="00D27E85"/>
    <w:rsid w:val="00D27EB5"/>
    <w:rsid w:val="00D27F79"/>
    <w:rsid w:val="00D30143"/>
    <w:rsid w:val="00D30628"/>
    <w:rsid w:val="00D30AA3"/>
    <w:rsid w:val="00D30AA4"/>
    <w:rsid w:val="00D30E38"/>
    <w:rsid w:val="00D30F74"/>
    <w:rsid w:val="00D313C9"/>
    <w:rsid w:val="00D3148D"/>
    <w:rsid w:val="00D315D3"/>
    <w:rsid w:val="00D315D8"/>
    <w:rsid w:val="00D31883"/>
    <w:rsid w:val="00D318C9"/>
    <w:rsid w:val="00D31A70"/>
    <w:rsid w:val="00D31B0B"/>
    <w:rsid w:val="00D31C12"/>
    <w:rsid w:val="00D31E54"/>
    <w:rsid w:val="00D31E69"/>
    <w:rsid w:val="00D31EC4"/>
    <w:rsid w:val="00D31EDC"/>
    <w:rsid w:val="00D31EEB"/>
    <w:rsid w:val="00D32013"/>
    <w:rsid w:val="00D32177"/>
    <w:rsid w:val="00D32180"/>
    <w:rsid w:val="00D3296B"/>
    <w:rsid w:val="00D32D45"/>
    <w:rsid w:val="00D32E60"/>
    <w:rsid w:val="00D33109"/>
    <w:rsid w:val="00D332DF"/>
    <w:rsid w:val="00D33504"/>
    <w:rsid w:val="00D337A6"/>
    <w:rsid w:val="00D338C7"/>
    <w:rsid w:val="00D338E1"/>
    <w:rsid w:val="00D338F9"/>
    <w:rsid w:val="00D33C97"/>
    <w:rsid w:val="00D33CD3"/>
    <w:rsid w:val="00D33D08"/>
    <w:rsid w:val="00D3404F"/>
    <w:rsid w:val="00D340C4"/>
    <w:rsid w:val="00D341F6"/>
    <w:rsid w:val="00D3436F"/>
    <w:rsid w:val="00D344E9"/>
    <w:rsid w:val="00D345DE"/>
    <w:rsid w:val="00D345E9"/>
    <w:rsid w:val="00D34A62"/>
    <w:rsid w:val="00D34F29"/>
    <w:rsid w:val="00D35050"/>
    <w:rsid w:val="00D350D6"/>
    <w:rsid w:val="00D35279"/>
    <w:rsid w:val="00D35564"/>
    <w:rsid w:val="00D3560C"/>
    <w:rsid w:val="00D35707"/>
    <w:rsid w:val="00D35C11"/>
    <w:rsid w:val="00D35D8F"/>
    <w:rsid w:val="00D35E79"/>
    <w:rsid w:val="00D36022"/>
    <w:rsid w:val="00D360BB"/>
    <w:rsid w:val="00D36304"/>
    <w:rsid w:val="00D365F0"/>
    <w:rsid w:val="00D365F8"/>
    <w:rsid w:val="00D36673"/>
    <w:rsid w:val="00D36870"/>
    <w:rsid w:val="00D36D3D"/>
    <w:rsid w:val="00D36E64"/>
    <w:rsid w:val="00D36FD5"/>
    <w:rsid w:val="00D3706D"/>
    <w:rsid w:val="00D3709F"/>
    <w:rsid w:val="00D37285"/>
    <w:rsid w:val="00D37402"/>
    <w:rsid w:val="00D37451"/>
    <w:rsid w:val="00D3750B"/>
    <w:rsid w:val="00D37555"/>
    <w:rsid w:val="00D37720"/>
    <w:rsid w:val="00D3796E"/>
    <w:rsid w:val="00D379E3"/>
    <w:rsid w:val="00D37D40"/>
    <w:rsid w:val="00D401EB"/>
    <w:rsid w:val="00D4055E"/>
    <w:rsid w:val="00D405A4"/>
    <w:rsid w:val="00D4098B"/>
    <w:rsid w:val="00D40FEE"/>
    <w:rsid w:val="00D413EA"/>
    <w:rsid w:val="00D415BF"/>
    <w:rsid w:val="00D41686"/>
    <w:rsid w:val="00D416E6"/>
    <w:rsid w:val="00D417F9"/>
    <w:rsid w:val="00D41922"/>
    <w:rsid w:val="00D41988"/>
    <w:rsid w:val="00D41ABA"/>
    <w:rsid w:val="00D41CDB"/>
    <w:rsid w:val="00D41D1F"/>
    <w:rsid w:val="00D41F30"/>
    <w:rsid w:val="00D41F72"/>
    <w:rsid w:val="00D423B2"/>
    <w:rsid w:val="00D42406"/>
    <w:rsid w:val="00D424DD"/>
    <w:rsid w:val="00D42509"/>
    <w:rsid w:val="00D42557"/>
    <w:rsid w:val="00D4256D"/>
    <w:rsid w:val="00D42818"/>
    <w:rsid w:val="00D429CB"/>
    <w:rsid w:val="00D42A5A"/>
    <w:rsid w:val="00D42B02"/>
    <w:rsid w:val="00D42D2B"/>
    <w:rsid w:val="00D42F4B"/>
    <w:rsid w:val="00D42FAA"/>
    <w:rsid w:val="00D43038"/>
    <w:rsid w:val="00D43173"/>
    <w:rsid w:val="00D431A1"/>
    <w:rsid w:val="00D432F4"/>
    <w:rsid w:val="00D43645"/>
    <w:rsid w:val="00D43768"/>
    <w:rsid w:val="00D4381F"/>
    <w:rsid w:val="00D44021"/>
    <w:rsid w:val="00D4406F"/>
    <w:rsid w:val="00D442D6"/>
    <w:rsid w:val="00D44360"/>
    <w:rsid w:val="00D44586"/>
    <w:rsid w:val="00D445D4"/>
    <w:rsid w:val="00D446C8"/>
    <w:rsid w:val="00D446E9"/>
    <w:rsid w:val="00D44DBD"/>
    <w:rsid w:val="00D44F32"/>
    <w:rsid w:val="00D45462"/>
    <w:rsid w:val="00D45470"/>
    <w:rsid w:val="00D454AA"/>
    <w:rsid w:val="00D45572"/>
    <w:rsid w:val="00D456A1"/>
    <w:rsid w:val="00D4574A"/>
    <w:rsid w:val="00D457D7"/>
    <w:rsid w:val="00D45A09"/>
    <w:rsid w:val="00D45BF2"/>
    <w:rsid w:val="00D45CAB"/>
    <w:rsid w:val="00D45D4E"/>
    <w:rsid w:val="00D45FB2"/>
    <w:rsid w:val="00D45FB3"/>
    <w:rsid w:val="00D4602B"/>
    <w:rsid w:val="00D4608E"/>
    <w:rsid w:val="00D461B9"/>
    <w:rsid w:val="00D46550"/>
    <w:rsid w:val="00D465F6"/>
    <w:rsid w:val="00D46728"/>
    <w:rsid w:val="00D46920"/>
    <w:rsid w:val="00D46CEE"/>
    <w:rsid w:val="00D46EC3"/>
    <w:rsid w:val="00D47039"/>
    <w:rsid w:val="00D47134"/>
    <w:rsid w:val="00D47199"/>
    <w:rsid w:val="00D471E1"/>
    <w:rsid w:val="00D47255"/>
    <w:rsid w:val="00D4729B"/>
    <w:rsid w:val="00D47401"/>
    <w:rsid w:val="00D474A5"/>
    <w:rsid w:val="00D474B6"/>
    <w:rsid w:val="00D474D1"/>
    <w:rsid w:val="00D47543"/>
    <w:rsid w:val="00D476B6"/>
    <w:rsid w:val="00D47CFF"/>
    <w:rsid w:val="00D47D98"/>
    <w:rsid w:val="00D47F53"/>
    <w:rsid w:val="00D50755"/>
    <w:rsid w:val="00D5093D"/>
    <w:rsid w:val="00D50E98"/>
    <w:rsid w:val="00D50FD0"/>
    <w:rsid w:val="00D5119F"/>
    <w:rsid w:val="00D5162B"/>
    <w:rsid w:val="00D51707"/>
    <w:rsid w:val="00D519F9"/>
    <w:rsid w:val="00D51B5E"/>
    <w:rsid w:val="00D51C62"/>
    <w:rsid w:val="00D51E2C"/>
    <w:rsid w:val="00D51E3E"/>
    <w:rsid w:val="00D51FE7"/>
    <w:rsid w:val="00D52155"/>
    <w:rsid w:val="00D522ED"/>
    <w:rsid w:val="00D5247C"/>
    <w:rsid w:val="00D524F6"/>
    <w:rsid w:val="00D52657"/>
    <w:rsid w:val="00D526A5"/>
    <w:rsid w:val="00D5270E"/>
    <w:rsid w:val="00D52864"/>
    <w:rsid w:val="00D52926"/>
    <w:rsid w:val="00D52988"/>
    <w:rsid w:val="00D52BE2"/>
    <w:rsid w:val="00D52C62"/>
    <w:rsid w:val="00D52CB7"/>
    <w:rsid w:val="00D52EBC"/>
    <w:rsid w:val="00D53075"/>
    <w:rsid w:val="00D530E6"/>
    <w:rsid w:val="00D53228"/>
    <w:rsid w:val="00D5327E"/>
    <w:rsid w:val="00D53353"/>
    <w:rsid w:val="00D53354"/>
    <w:rsid w:val="00D53429"/>
    <w:rsid w:val="00D53513"/>
    <w:rsid w:val="00D536AB"/>
    <w:rsid w:val="00D536BF"/>
    <w:rsid w:val="00D53D49"/>
    <w:rsid w:val="00D53D6F"/>
    <w:rsid w:val="00D53F36"/>
    <w:rsid w:val="00D54519"/>
    <w:rsid w:val="00D545EF"/>
    <w:rsid w:val="00D54692"/>
    <w:rsid w:val="00D54906"/>
    <w:rsid w:val="00D54909"/>
    <w:rsid w:val="00D54D37"/>
    <w:rsid w:val="00D54DFC"/>
    <w:rsid w:val="00D54F53"/>
    <w:rsid w:val="00D551B1"/>
    <w:rsid w:val="00D5571F"/>
    <w:rsid w:val="00D557C6"/>
    <w:rsid w:val="00D55AD2"/>
    <w:rsid w:val="00D55D34"/>
    <w:rsid w:val="00D560DF"/>
    <w:rsid w:val="00D565B2"/>
    <w:rsid w:val="00D56631"/>
    <w:rsid w:val="00D5687C"/>
    <w:rsid w:val="00D56B6F"/>
    <w:rsid w:val="00D56BE7"/>
    <w:rsid w:val="00D56C63"/>
    <w:rsid w:val="00D56CA0"/>
    <w:rsid w:val="00D56CDA"/>
    <w:rsid w:val="00D56DB5"/>
    <w:rsid w:val="00D56DC9"/>
    <w:rsid w:val="00D57146"/>
    <w:rsid w:val="00D571AA"/>
    <w:rsid w:val="00D5722D"/>
    <w:rsid w:val="00D572E4"/>
    <w:rsid w:val="00D5733B"/>
    <w:rsid w:val="00D57399"/>
    <w:rsid w:val="00D573F8"/>
    <w:rsid w:val="00D574C1"/>
    <w:rsid w:val="00D57501"/>
    <w:rsid w:val="00D57633"/>
    <w:rsid w:val="00D57699"/>
    <w:rsid w:val="00D5770A"/>
    <w:rsid w:val="00D57794"/>
    <w:rsid w:val="00D578CF"/>
    <w:rsid w:val="00D57911"/>
    <w:rsid w:val="00D57A33"/>
    <w:rsid w:val="00D57C23"/>
    <w:rsid w:val="00D57D4C"/>
    <w:rsid w:val="00D57D6B"/>
    <w:rsid w:val="00D57DE5"/>
    <w:rsid w:val="00D600DA"/>
    <w:rsid w:val="00D60367"/>
    <w:rsid w:val="00D60412"/>
    <w:rsid w:val="00D6047A"/>
    <w:rsid w:val="00D604D3"/>
    <w:rsid w:val="00D60667"/>
    <w:rsid w:val="00D60699"/>
    <w:rsid w:val="00D606BE"/>
    <w:rsid w:val="00D606DC"/>
    <w:rsid w:val="00D60A4B"/>
    <w:rsid w:val="00D60A8C"/>
    <w:rsid w:val="00D60B37"/>
    <w:rsid w:val="00D60C96"/>
    <w:rsid w:val="00D60CBA"/>
    <w:rsid w:val="00D60E0D"/>
    <w:rsid w:val="00D60EC7"/>
    <w:rsid w:val="00D60F32"/>
    <w:rsid w:val="00D61462"/>
    <w:rsid w:val="00D616E1"/>
    <w:rsid w:val="00D61897"/>
    <w:rsid w:val="00D6197F"/>
    <w:rsid w:val="00D61B29"/>
    <w:rsid w:val="00D61CBB"/>
    <w:rsid w:val="00D61FFC"/>
    <w:rsid w:val="00D621C4"/>
    <w:rsid w:val="00D62300"/>
    <w:rsid w:val="00D62498"/>
    <w:rsid w:val="00D6249E"/>
    <w:rsid w:val="00D62596"/>
    <w:rsid w:val="00D62658"/>
    <w:rsid w:val="00D62705"/>
    <w:rsid w:val="00D62979"/>
    <w:rsid w:val="00D629B4"/>
    <w:rsid w:val="00D62B61"/>
    <w:rsid w:val="00D62F2A"/>
    <w:rsid w:val="00D63233"/>
    <w:rsid w:val="00D63305"/>
    <w:rsid w:val="00D634FE"/>
    <w:rsid w:val="00D63646"/>
    <w:rsid w:val="00D63697"/>
    <w:rsid w:val="00D6380B"/>
    <w:rsid w:val="00D6391F"/>
    <w:rsid w:val="00D63A2B"/>
    <w:rsid w:val="00D63AD4"/>
    <w:rsid w:val="00D63CB7"/>
    <w:rsid w:val="00D63DD7"/>
    <w:rsid w:val="00D63F3A"/>
    <w:rsid w:val="00D64092"/>
    <w:rsid w:val="00D641CF"/>
    <w:rsid w:val="00D6431E"/>
    <w:rsid w:val="00D6441F"/>
    <w:rsid w:val="00D647CC"/>
    <w:rsid w:val="00D649E5"/>
    <w:rsid w:val="00D64BAC"/>
    <w:rsid w:val="00D64C53"/>
    <w:rsid w:val="00D64CDF"/>
    <w:rsid w:val="00D64CEC"/>
    <w:rsid w:val="00D64D4B"/>
    <w:rsid w:val="00D64DD9"/>
    <w:rsid w:val="00D65009"/>
    <w:rsid w:val="00D65735"/>
    <w:rsid w:val="00D658CB"/>
    <w:rsid w:val="00D659CD"/>
    <w:rsid w:val="00D65A29"/>
    <w:rsid w:val="00D65E74"/>
    <w:rsid w:val="00D65EB6"/>
    <w:rsid w:val="00D65F8B"/>
    <w:rsid w:val="00D65F9C"/>
    <w:rsid w:val="00D66474"/>
    <w:rsid w:val="00D6682F"/>
    <w:rsid w:val="00D6694F"/>
    <w:rsid w:val="00D66961"/>
    <w:rsid w:val="00D66A72"/>
    <w:rsid w:val="00D66E75"/>
    <w:rsid w:val="00D6707E"/>
    <w:rsid w:val="00D67431"/>
    <w:rsid w:val="00D67432"/>
    <w:rsid w:val="00D674C8"/>
    <w:rsid w:val="00D67545"/>
    <w:rsid w:val="00D678EA"/>
    <w:rsid w:val="00D678F3"/>
    <w:rsid w:val="00D67989"/>
    <w:rsid w:val="00D67C89"/>
    <w:rsid w:val="00D67E97"/>
    <w:rsid w:val="00D67F11"/>
    <w:rsid w:val="00D67FD2"/>
    <w:rsid w:val="00D70132"/>
    <w:rsid w:val="00D701A3"/>
    <w:rsid w:val="00D70795"/>
    <w:rsid w:val="00D709D5"/>
    <w:rsid w:val="00D70A2E"/>
    <w:rsid w:val="00D70E5F"/>
    <w:rsid w:val="00D710F7"/>
    <w:rsid w:val="00D711DD"/>
    <w:rsid w:val="00D71560"/>
    <w:rsid w:val="00D71917"/>
    <w:rsid w:val="00D71931"/>
    <w:rsid w:val="00D71997"/>
    <w:rsid w:val="00D71E38"/>
    <w:rsid w:val="00D720F2"/>
    <w:rsid w:val="00D7262C"/>
    <w:rsid w:val="00D726C9"/>
    <w:rsid w:val="00D727DB"/>
    <w:rsid w:val="00D7283F"/>
    <w:rsid w:val="00D72AD2"/>
    <w:rsid w:val="00D72BDE"/>
    <w:rsid w:val="00D72CDC"/>
    <w:rsid w:val="00D72D47"/>
    <w:rsid w:val="00D72D5B"/>
    <w:rsid w:val="00D72E5F"/>
    <w:rsid w:val="00D72F49"/>
    <w:rsid w:val="00D72FD3"/>
    <w:rsid w:val="00D73318"/>
    <w:rsid w:val="00D734FB"/>
    <w:rsid w:val="00D73E29"/>
    <w:rsid w:val="00D73F8D"/>
    <w:rsid w:val="00D74112"/>
    <w:rsid w:val="00D74341"/>
    <w:rsid w:val="00D74985"/>
    <w:rsid w:val="00D74B77"/>
    <w:rsid w:val="00D74C80"/>
    <w:rsid w:val="00D74CE2"/>
    <w:rsid w:val="00D750A1"/>
    <w:rsid w:val="00D75209"/>
    <w:rsid w:val="00D752E6"/>
    <w:rsid w:val="00D7536C"/>
    <w:rsid w:val="00D7538D"/>
    <w:rsid w:val="00D753AF"/>
    <w:rsid w:val="00D754BE"/>
    <w:rsid w:val="00D756F4"/>
    <w:rsid w:val="00D75728"/>
    <w:rsid w:val="00D75CFF"/>
    <w:rsid w:val="00D75F0A"/>
    <w:rsid w:val="00D760EF"/>
    <w:rsid w:val="00D76311"/>
    <w:rsid w:val="00D76388"/>
    <w:rsid w:val="00D76499"/>
    <w:rsid w:val="00D7658B"/>
    <w:rsid w:val="00D765F7"/>
    <w:rsid w:val="00D7666D"/>
    <w:rsid w:val="00D768BD"/>
    <w:rsid w:val="00D769C1"/>
    <w:rsid w:val="00D769EC"/>
    <w:rsid w:val="00D77084"/>
    <w:rsid w:val="00D7729C"/>
    <w:rsid w:val="00D774A1"/>
    <w:rsid w:val="00D77519"/>
    <w:rsid w:val="00D7774A"/>
    <w:rsid w:val="00D77FDA"/>
    <w:rsid w:val="00D8010A"/>
    <w:rsid w:val="00D8028A"/>
    <w:rsid w:val="00D8044E"/>
    <w:rsid w:val="00D804CB"/>
    <w:rsid w:val="00D805F9"/>
    <w:rsid w:val="00D80623"/>
    <w:rsid w:val="00D806A4"/>
    <w:rsid w:val="00D80708"/>
    <w:rsid w:val="00D80825"/>
    <w:rsid w:val="00D8095F"/>
    <w:rsid w:val="00D80E6B"/>
    <w:rsid w:val="00D81033"/>
    <w:rsid w:val="00D81717"/>
    <w:rsid w:val="00D8176F"/>
    <w:rsid w:val="00D81A8C"/>
    <w:rsid w:val="00D81A93"/>
    <w:rsid w:val="00D81B0F"/>
    <w:rsid w:val="00D81BC0"/>
    <w:rsid w:val="00D81BFB"/>
    <w:rsid w:val="00D81E51"/>
    <w:rsid w:val="00D81E5E"/>
    <w:rsid w:val="00D822C3"/>
    <w:rsid w:val="00D822D8"/>
    <w:rsid w:val="00D823CB"/>
    <w:rsid w:val="00D82556"/>
    <w:rsid w:val="00D82A8D"/>
    <w:rsid w:val="00D82EDB"/>
    <w:rsid w:val="00D82FCD"/>
    <w:rsid w:val="00D830FD"/>
    <w:rsid w:val="00D83111"/>
    <w:rsid w:val="00D83133"/>
    <w:rsid w:val="00D83412"/>
    <w:rsid w:val="00D836EA"/>
    <w:rsid w:val="00D836FC"/>
    <w:rsid w:val="00D83FD1"/>
    <w:rsid w:val="00D840AF"/>
    <w:rsid w:val="00D841EA"/>
    <w:rsid w:val="00D844D6"/>
    <w:rsid w:val="00D84839"/>
    <w:rsid w:val="00D8497B"/>
    <w:rsid w:val="00D84B2A"/>
    <w:rsid w:val="00D84C2E"/>
    <w:rsid w:val="00D84D95"/>
    <w:rsid w:val="00D84D99"/>
    <w:rsid w:val="00D84FA4"/>
    <w:rsid w:val="00D85207"/>
    <w:rsid w:val="00D855E1"/>
    <w:rsid w:val="00D85755"/>
    <w:rsid w:val="00D85B98"/>
    <w:rsid w:val="00D85FB3"/>
    <w:rsid w:val="00D860D2"/>
    <w:rsid w:val="00D861B6"/>
    <w:rsid w:val="00D86389"/>
    <w:rsid w:val="00D863EC"/>
    <w:rsid w:val="00D867D2"/>
    <w:rsid w:val="00D86A6C"/>
    <w:rsid w:val="00D86C18"/>
    <w:rsid w:val="00D86FFF"/>
    <w:rsid w:val="00D8705B"/>
    <w:rsid w:val="00D87102"/>
    <w:rsid w:val="00D87414"/>
    <w:rsid w:val="00D874E6"/>
    <w:rsid w:val="00D87594"/>
    <w:rsid w:val="00D87890"/>
    <w:rsid w:val="00D878CF"/>
    <w:rsid w:val="00D87929"/>
    <w:rsid w:val="00D87952"/>
    <w:rsid w:val="00D87BEC"/>
    <w:rsid w:val="00D87EB6"/>
    <w:rsid w:val="00D900CB"/>
    <w:rsid w:val="00D90290"/>
    <w:rsid w:val="00D907EE"/>
    <w:rsid w:val="00D9105E"/>
    <w:rsid w:val="00D910E5"/>
    <w:rsid w:val="00D91394"/>
    <w:rsid w:val="00D913C8"/>
    <w:rsid w:val="00D9153F"/>
    <w:rsid w:val="00D916C1"/>
    <w:rsid w:val="00D9181E"/>
    <w:rsid w:val="00D918B9"/>
    <w:rsid w:val="00D9193A"/>
    <w:rsid w:val="00D91A2C"/>
    <w:rsid w:val="00D91AB0"/>
    <w:rsid w:val="00D91B86"/>
    <w:rsid w:val="00D91CA4"/>
    <w:rsid w:val="00D91DFC"/>
    <w:rsid w:val="00D92102"/>
    <w:rsid w:val="00D92182"/>
    <w:rsid w:val="00D92582"/>
    <w:rsid w:val="00D925C9"/>
    <w:rsid w:val="00D9284F"/>
    <w:rsid w:val="00D92B4B"/>
    <w:rsid w:val="00D92C01"/>
    <w:rsid w:val="00D92D2C"/>
    <w:rsid w:val="00D93064"/>
    <w:rsid w:val="00D932DE"/>
    <w:rsid w:val="00D932DF"/>
    <w:rsid w:val="00D934E9"/>
    <w:rsid w:val="00D93667"/>
    <w:rsid w:val="00D93710"/>
    <w:rsid w:val="00D93A94"/>
    <w:rsid w:val="00D93DF9"/>
    <w:rsid w:val="00D93F42"/>
    <w:rsid w:val="00D93F8F"/>
    <w:rsid w:val="00D9420C"/>
    <w:rsid w:val="00D944B6"/>
    <w:rsid w:val="00D9464E"/>
    <w:rsid w:val="00D94990"/>
    <w:rsid w:val="00D952E0"/>
    <w:rsid w:val="00D954EC"/>
    <w:rsid w:val="00D95986"/>
    <w:rsid w:val="00D95C60"/>
    <w:rsid w:val="00D95F11"/>
    <w:rsid w:val="00D95FFB"/>
    <w:rsid w:val="00D96220"/>
    <w:rsid w:val="00D963CC"/>
    <w:rsid w:val="00D963EB"/>
    <w:rsid w:val="00D9666A"/>
    <w:rsid w:val="00D96920"/>
    <w:rsid w:val="00D9699D"/>
    <w:rsid w:val="00D96B06"/>
    <w:rsid w:val="00D96B9C"/>
    <w:rsid w:val="00D97070"/>
    <w:rsid w:val="00D97096"/>
    <w:rsid w:val="00D973E1"/>
    <w:rsid w:val="00D975E0"/>
    <w:rsid w:val="00D9777B"/>
    <w:rsid w:val="00D9791F"/>
    <w:rsid w:val="00D97B90"/>
    <w:rsid w:val="00D97D9E"/>
    <w:rsid w:val="00D97E69"/>
    <w:rsid w:val="00DA044F"/>
    <w:rsid w:val="00DA05FA"/>
    <w:rsid w:val="00DA07F8"/>
    <w:rsid w:val="00DA0819"/>
    <w:rsid w:val="00DA0D6B"/>
    <w:rsid w:val="00DA0E32"/>
    <w:rsid w:val="00DA0F22"/>
    <w:rsid w:val="00DA15C0"/>
    <w:rsid w:val="00DA16A1"/>
    <w:rsid w:val="00DA1711"/>
    <w:rsid w:val="00DA1790"/>
    <w:rsid w:val="00DA1855"/>
    <w:rsid w:val="00DA1945"/>
    <w:rsid w:val="00DA19D7"/>
    <w:rsid w:val="00DA19E9"/>
    <w:rsid w:val="00DA1AD8"/>
    <w:rsid w:val="00DA1B64"/>
    <w:rsid w:val="00DA1B8A"/>
    <w:rsid w:val="00DA1F0B"/>
    <w:rsid w:val="00DA1F5C"/>
    <w:rsid w:val="00DA1FC1"/>
    <w:rsid w:val="00DA20B4"/>
    <w:rsid w:val="00DA21D8"/>
    <w:rsid w:val="00DA228E"/>
    <w:rsid w:val="00DA2675"/>
    <w:rsid w:val="00DA2704"/>
    <w:rsid w:val="00DA2A13"/>
    <w:rsid w:val="00DA2AFA"/>
    <w:rsid w:val="00DA2CDD"/>
    <w:rsid w:val="00DA2EBA"/>
    <w:rsid w:val="00DA31A0"/>
    <w:rsid w:val="00DA3991"/>
    <w:rsid w:val="00DA3B9F"/>
    <w:rsid w:val="00DA3C96"/>
    <w:rsid w:val="00DA3D2C"/>
    <w:rsid w:val="00DA3EB5"/>
    <w:rsid w:val="00DA3F36"/>
    <w:rsid w:val="00DA421E"/>
    <w:rsid w:val="00DA437E"/>
    <w:rsid w:val="00DA443C"/>
    <w:rsid w:val="00DA4491"/>
    <w:rsid w:val="00DA44CD"/>
    <w:rsid w:val="00DA4814"/>
    <w:rsid w:val="00DA4887"/>
    <w:rsid w:val="00DA4E2D"/>
    <w:rsid w:val="00DA4F23"/>
    <w:rsid w:val="00DA4F3B"/>
    <w:rsid w:val="00DA5050"/>
    <w:rsid w:val="00DA50F4"/>
    <w:rsid w:val="00DA55FC"/>
    <w:rsid w:val="00DA56A1"/>
    <w:rsid w:val="00DA5975"/>
    <w:rsid w:val="00DA59F6"/>
    <w:rsid w:val="00DA5A10"/>
    <w:rsid w:val="00DA5B13"/>
    <w:rsid w:val="00DA5BB4"/>
    <w:rsid w:val="00DA5D3F"/>
    <w:rsid w:val="00DA5DBB"/>
    <w:rsid w:val="00DA6192"/>
    <w:rsid w:val="00DA6322"/>
    <w:rsid w:val="00DA637F"/>
    <w:rsid w:val="00DA64DC"/>
    <w:rsid w:val="00DA6617"/>
    <w:rsid w:val="00DA66C0"/>
    <w:rsid w:val="00DA6DB0"/>
    <w:rsid w:val="00DA6DE6"/>
    <w:rsid w:val="00DA7054"/>
    <w:rsid w:val="00DA709F"/>
    <w:rsid w:val="00DA729B"/>
    <w:rsid w:val="00DA72DF"/>
    <w:rsid w:val="00DA76B8"/>
    <w:rsid w:val="00DA7A11"/>
    <w:rsid w:val="00DB01B5"/>
    <w:rsid w:val="00DB0691"/>
    <w:rsid w:val="00DB0744"/>
    <w:rsid w:val="00DB0829"/>
    <w:rsid w:val="00DB0B1A"/>
    <w:rsid w:val="00DB0B31"/>
    <w:rsid w:val="00DB0CAC"/>
    <w:rsid w:val="00DB13B3"/>
    <w:rsid w:val="00DB1428"/>
    <w:rsid w:val="00DB15DF"/>
    <w:rsid w:val="00DB1B52"/>
    <w:rsid w:val="00DB1CC6"/>
    <w:rsid w:val="00DB1DD7"/>
    <w:rsid w:val="00DB1E1E"/>
    <w:rsid w:val="00DB2030"/>
    <w:rsid w:val="00DB259C"/>
    <w:rsid w:val="00DB28D0"/>
    <w:rsid w:val="00DB2980"/>
    <w:rsid w:val="00DB2B31"/>
    <w:rsid w:val="00DB2B67"/>
    <w:rsid w:val="00DB2D2C"/>
    <w:rsid w:val="00DB2D7C"/>
    <w:rsid w:val="00DB2DA5"/>
    <w:rsid w:val="00DB2EF1"/>
    <w:rsid w:val="00DB2F30"/>
    <w:rsid w:val="00DB38BE"/>
    <w:rsid w:val="00DB39C4"/>
    <w:rsid w:val="00DB39EB"/>
    <w:rsid w:val="00DB3C36"/>
    <w:rsid w:val="00DB3C4E"/>
    <w:rsid w:val="00DB3D15"/>
    <w:rsid w:val="00DB44D6"/>
    <w:rsid w:val="00DB45FE"/>
    <w:rsid w:val="00DB46C8"/>
    <w:rsid w:val="00DB46EF"/>
    <w:rsid w:val="00DB4754"/>
    <w:rsid w:val="00DB4981"/>
    <w:rsid w:val="00DB4AF3"/>
    <w:rsid w:val="00DB5091"/>
    <w:rsid w:val="00DB50BF"/>
    <w:rsid w:val="00DB50E9"/>
    <w:rsid w:val="00DB51C9"/>
    <w:rsid w:val="00DB5417"/>
    <w:rsid w:val="00DB564F"/>
    <w:rsid w:val="00DB584E"/>
    <w:rsid w:val="00DB599F"/>
    <w:rsid w:val="00DB5A6F"/>
    <w:rsid w:val="00DB5A79"/>
    <w:rsid w:val="00DB5DFB"/>
    <w:rsid w:val="00DB5F38"/>
    <w:rsid w:val="00DB625E"/>
    <w:rsid w:val="00DB6364"/>
    <w:rsid w:val="00DB6590"/>
    <w:rsid w:val="00DB65A2"/>
    <w:rsid w:val="00DB65D0"/>
    <w:rsid w:val="00DB662B"/>
    <w:rsid w:val="00DB6CF2"/>
    <w:rsid w:val="00DB6EED"/>
    <w:rsid w:val="00DB6EFF"/>
    <w:rsid w:val="00DB6F8B"/>
    <w:rsid w:val="00DB71E4"/>
    <w:rsid w:val="00DB730B"/>
    <w:rsid w:val="00DB748B"/>
    <w:rsid w:val="00DB757F"/>
    <w:rsid w:val="00DB75DE"/>
    <w:rsid w:val="00DB7AB1"/>
    <w:rsid w:val="00DB7B44"/>
    <w:rsid w:val="00DB7C74"/>
    <w:rsid w:val="00DB7CBF"/>
    <w:rsid w:val="00DB7E8D"/>
    <w:rsid w:val="00DB7F07"/>
    <w:rsid w:val="00DC004A"/>
    <w:rsid w:val="00DC005D"/>
    <w:rsid w:val="00DC0164"/>
    <w:rsid w:val="00DC0187"/>
    <w:rsid w:val="00DC01A6"/>
    <w:rsid w:val="00DC03C7"/>
    <w:rsid w:val="00DC03E7"/>
    <w:rsid w:val="00DC06F2"/>
    <w:rsid w:val="00DC09C1"/>
    <w:rsid w:val="00DC0B01"/>
    <w:rsid w:val="00DC0BBC"/>
    <w:rsid w:val="00DC0D4C"/>
    <w:rsid w:val="00DC0FB6"/>
    <w:rsid w:val="00DC0FCC"/>
    <w:rsid w:val="00DC10DB"/>
    <w:rsid w:val="00DC11B9"/>
    <w:rsid w:val="00DC17EE"/>
    <w:rsid w:val="00DC18C4"/>
    <w:rsid w:val="00DC1A36"/>
    <w:rsid w:val="00DC1D18"/>
    <w:rsid w:val="00DC1E19"/>
    <w:rsid w:val="00DC1F26"/>
    <w:rsid w:val="00DC1FB3"/>
    <w:rsid w:val="00DC1FC0"/>
    <w:rsid w:val="00DC217B"/>
    <w:rsid w:val="00DC22D2"/>
    <w:rsid w:val="00DC2453"/>
    <w:rsid w:val="00DC24CE"/>
    <w:rsid w:val="00DC2655"/>
    <w:rsid w:val="00DC26A8"/>
    <w:rsid w:val="00DC2772"/>
    <w:rsid w:val="00DC2781"/>
    <w:rsid w:val="00DC29C9"/>
    <w:rsid w:val="00DC2B38"/>
    <w:rsid w:val="00DC2CC0"/>
    <w:rsid w:val="00DC2D82"/>
    <w:rsid w:val="00DC2F9C"/>
    <w:rsid w:val="00DC3252"/>
    <w:rsid w:val="00DC328C"/>
    <w:rsid w:val="00DC345D"/>
    <w:rsid w:val="00DC36AA"/>
    <w:rsid w:val="00DC38F2"/>
    <w:rsid w:val="00DC3D68"/>
    <w:rsid w:val="00DC3D71"/>
    <w:rsid w:val="00DC3EC4"/>
    <w:rsid w:val="00DC408D"/>
    <w:rsid w:val="00DC40A8"/>
    <w:rsid w:val="00DC41A1"/>
    <w:rsid w:val="00DC4218"/>
    <w:rsid w:val="00DC4405"/>
    <w:rsid w:val="00DC44B7"/>
    <w:rsid w:val="00DC458E"/>
    <w:rsid w:val="00DC475B"/>
    <w:rsid w:val="00DC480E"/>
    <w:rsid w:val="00DC494B"/>
    <w:rsid w:val="00DC4ACE"/>
    <w:rsid w:val="00DC4B27"/>
    <w:rsid w:val="00DC4EA2"/>
    <w:rsid w:val="00DC4ED2"/>
    <w:rsid w:val="00DC51F1"/>
    <w:rsid w:val="00DC5217"/>
    <w:rsid w:val="00DC5272"/>
    <w:rsid w:val="00DC54FC"/>
    <w:rsid w:val="00DC5559"/>
    <w:rsid w:val="00DC5745"/>
    <w:rsid w:val="00DC5869"/>
    <w:rsid w:val="00DC5A29"/>
    <w:rsid w:val="00DC5AB6"/>
    <w:rsid w:val="00DC5AC5"/>
    <w:rsid w:val="00DC5D81"/>
    <w:rsid w:val="00DC5F0C"/>
    <w:rsid w:val="00DC5F3F"/>
    <w:rsid w:val="00DC5F51"/>
    <w:rsid w:val="00DC644C"/>
    <w:rsid w:val="00DC64DE"/>
    <w:rsid w:val="00DC6545"/>
    <w:rsid w:val="00DC657A"/>
    <w:rsid w:val="00DC6615"/>
    <w:rsid w:val="00DC66D3"/>
    <w:rsid w:val="00DC67A6"/>
    <w:rsid w:val="00DC7108"/>
    <w:rsid w:val="00DC711F"/>
    <w:rsid w:val="00DC72AE"/>
    <w:rsid w:val="00DC7884"/>
    <w:rsid w:val="00DC7B37"/>
    <w:rsid w:val="00DC7F1D"/>
    <w:rsid w:val="00DD00CF"/>
    <w:rsid w:val="00DD00F3"/>
    <w:rsid w:val="00DD0675"/>
    <w:rsid w:val="00DD0AAD"/>
    <w:rsid w:val="00DD0D2F"/>
    <w:rsid w:val="00DD1075"/>
    <w:rsid w:val="00DD116E"/>
    <w:rsid w:val="00DD1521"/>
    <w:rsid w:val="00DD15A6"/>
    <w:rsid w:val="00DD16E2"/>
    <w:rsid w:val="00DD18D5"/>
    <w:rsid w:val="00DD18ED"/>
    <w:rsid w:val="00DD1AAE"/>
    <w:rsid w:val="00DD1C62"/>
    <w:rsid w:val="00DD1CFE"/>
    <w:rsid w:val="00DD1E96"/>
    <w:rsid w:val="00DD216D"/>
    <w:rsid w:val="00DD224C"/>
    <w:rsid w:val="00DD2270"/>
    <w:rsid w:val="00DD23D7"/>
    <w:rsid w:val="00DD2A81"/>
    <w:rsid w:val="00DD31A6"/>
    <w:rsid w:val="00DD341E"/>
    <w:rsid w:val="00DD366A"/>
    <w:rsid w:val="00DD3671"/>
    <w:rsid w:val="00DD3972"/>
    <w:rsid w:val="00DD3C8B"/>
    <w:rsid w:val="00DD3D29"/>
    <w:rsid w:val="00DD4371"/>
    <w:rsid w:val="00DD45B6"/>
    <w:rsid w:val="00DD49C7"/>
    <w:rsid w:val="00DD4A1C"/>
    <w:rsid w:val="00DD4AD8"/>
    <w:rsid w:val="00DD4BF6"/>
    <w:rsid w:val="00DD4C2E"/>
    <w:rsid w:val="00DD4E06"/>
    <w:rsid w:val="00DD5027"/>
    <w:rsid w:val="00DD50FA"/>
    <w:rsid w:val="00DD528B"/>
    <w:rsid w:val="00DD52A3"/>
    <w:rsid w:val="00DD54EC"/>
    <w:rsid w:val="00DD55FF"/>
    <w:rsid w:val="00DD5A6D"/>
    <w:rsid w:val="00DD5D40"/>
    <w:rsid w:val="00DD6056"/>
    <w:rsid w:val="00DD60BF"/>
    <w:rsid w:val="00DD62DA"/>
    <w:rsid w:val="00DD6352"/>
    <w:rsid w:val="00DD6400"/>
    <w:rsid w:val="00DD6449"/>
    <w:rsid w:val="00DD679C"/>
    <w:rsid w:val="00DD67B8"/>
    <w:rsid w:val="00DD6F7F"/>
    <w:rsid w:val="00DD6FFB"/>
    <w:rsid w:val="00DD714A"/>
    <w:rsid w:val="00DD72DA"/>
    <w:rsid w:val="00DD7342"/>
    <w:rsid w:val="00DD73E8"/>
    <w:rsid w:val="00DD7882"/>
    <w:rsid w:val="00DD79C1"/>
    <w:rsid w:val="00DE02A6"/>
    <w:rsid w:val="00DE04D3"/>
    <w:rsid w:val="00DE0534"/>
    <w:rsid w:val="00DE0535"/>
    <w:rsid w:val="00DE0577"/>
    <w:rsid w:val="00DE091B"/>
    <w:rsid w:val="00DE0BE0"/>
    <w:rsid w:val="00DE0C01"/>
    <w:rsid w:val="00DE0DB6"/>
    <w:rsid w:val="00DE0F8B"/>
    <w:rsid w:val="00DE10E0"/>
    <w:rsid w:val="00DE1231"/>
    <w:rsid w:val="00DE13D8"/>
    <w:rsid w:val="00DE173C"/>
    <w:rsid w:val="00DE17AD"/>
    <w:rsid w:val="00DE1828"/>
    <w:rsid w:val="00DE18E5"/>
    <w:rsid w:val="00DE1C3B"/>
    <w:rsid w:val="00DE1C7A"/>
    <w:rsid w:val="00DE1ED4"/>
    <w:rsid w:val="00DE1F8B"/>
    <w:rsid w:val="00DE1FF9"/>
    <w:rsid w:val="00DE20D2"/>
    <w:rsid w:val="00DE21AA"/>
    <w:rsid w:val="00DE2442"/>
    <w:rsid w:val="00DE2884"/>
    <w:rsid w:val="00DE2EFA"/>
    <w:rsid w:val="00DE2F1E"/>
    <w:rsid w:val="00DE3076"/>
    <w:rsid w:val="00DE30DE"/>
    <w:rsid w:val="00DE3184"/>
    <w:rsid w:val="00DE3312"/>
    <w:rsid w:val="00DE3368"/>
    <w:rsid w:val="00DE34B5"/>
    <w:rsid w:val="00DE37E9"/>
    <w:rsid w:val="00DE3912"/>
    <w:rsid w:val="00DE3960"/>
    <w:rsid w:val="00DE3BF6"/>
    <w:rsid w:val="00DE3E2C"/>
    <w:rsid w:val="00DE428E"/>
    <w:rsid w:val="00DE44CF"/>
    <w:rsid w:val="00DE4571"/>
    <w:rsid w:val="00DE45C6"/>
    <w:rsid w:val="00DE4604"/>
    <w:rsid w:val="00DE4852"/>
    <w:rsid w:val="00DE4AA5"/>
    <w:rsid w:val="00DE4C47"/>
    <w:rsid w:val="00DE4CA7"/>
    <w:rsid w:val="00DE4F4C"/>
    <w:rsid w:val="00DE5402"/>
    <w:rsid w:val="00DE54E0"/>
    <w:rsid w:val="00DE5512"/>
    <w:rsid w:val="00DE5C75"/>
    <w:rsid w:val="00DE606F"/>
    <w:rsid w:val="00DE60B2"/>
    <w:rsid w:val="00DE631C"/>
    <w:rsid w:val="00DE63DD"/>
    <w:rsid w:val="00DE6465"/>
    <w:rsid w:val="00DE64C0"/>
    <w:rsid w:val="00DE64C2"/>
    <w:rsid w:val="00DE68FD"/>
    <w:rsid w:val="00DE6927"/>
    <w:rsid w:val="00DE6E0C"/>
    <w:rsid w:val="00DE6EFE"/>
    <w:rsid w:val="00DE7639"/>
    <w:rsid w:val="00DE7689"/>
    <w:rsid w:val="00DE785B"/>
    <w:rsid w:val="00DE78E7"/>
    <w:rsid w:val="00DE7A5C"/>
    <w:rsid w:val="00DE7B58"/>
    <w:rsid w:val="00DE7BE2"/>
    <w:rsid w:val="00DE7CEF"/>
    <w:rsid w:val="00DE7DCA"/>
    <w:rsid w:val="00DE7EB1"/>
    <w:rsid w:val="00DF014A"/>
    <w:rsid w:val="00DF01A9"/>
    <w:rsid w:val="00DF01CA"/>
    <w:rsid w:val="00DF03E7"/>
    <w:rsid w:val="00DF0628"/>
    <w:rsid w:val="00DF070C"/>
    <w:rsid w:val="00DF08B6"/>
    <w:rsid w:val="00DF0B36"/>
    <w:rsid w:val="00DF0BDE"/>
    <w:rsid w:val="00DF0C2B"/>
    <w:rsid w:val="00DF0FF1"/>
    <w:rsid w:val="00DF13E6"/>
    <w:rsid w:val="00DF15C6"/>
    <w:rsid w:val="00DF16B9"/>
    <w:rsid w:val="00DF1723"/>
    <w:rsid w:val="00DF173F"/>
    <w:rsid w:val="00DF188C"/>
    <w:rsid w:val="00DF18ED"/>
    <w:rsid w:val="00DF1E1D"/>
    <w:rsid w:val="00DF1F45"/>
    <w:rsid w:val="00DF20E3"/>
    <w:rsid w:val="00DF221B"/>
    <w:rsid w:val="00DF2502"/>
    <w:rsid w:val="00DF2747"/>
    <w:rsid w:val="00DF2928"/>
    <w:rsid w:val="00DF29B3"/>
    <w:rsid w:val="00DF2B44"/>
    <w:rsid w:val="00DF2BAA"/>
    <w:rsid w:val="00DF2DB4"/>
    <w:rsid w:val="00DF37E3"/>
    <w:rsid w:val="00DF39F7"/>
    <w:rsid w:val="00DF3DE0"/>
    <w:rsid w:val="00DF4562"/>
    <w:rsid w:val="00DF4674"/>
    <w:rsid w:val="00DF46B9"/>
    <w:rsid w:val="00DF494B"/>
    <w:rsid w:val="00DF4CB8"/>
    <w:rsid w:val="00DF4CBA"/>
    <w:rsid w:val="00DF4CF4"/>
    <w:rsid w:val="00DF52B0"/>
    <w:rsid w:val="00DF571E"/>
    <w:rsid w:val="00DF57CF"/>
    <w:rsid w:val="00DF5827"/>
    <w:rsid w:val="00DF5ABC"/>
    <w:rsid w:val="00DF5B24"/>
    <w:rsid w:val="00DF5BA9"/>
    <w:rsid w:val="00DF5D63"/>
    <w:rsid w:val="00DF5D6D"/>
    <w:rsid w:val="00DF5E0A"/>
    <w:rsid w:val="00DF5E90"/>
    <w:rsid w:val="00DF5F66"/>
    <w:rsid w:val="00DF62F5"/>
    <w:rsid w:val="00DF63CD"/>
    <w:rsid w:val="00DF6419"/>
    <w:rsid w:val="00DF65D3"/>
    <w:rsid w:val="00DF67A5"/>
    <w:rsid w:val="00DF67F8"/>
    <w:rsid w:val="00DF6981"/>
    <w:rsid w:val="00DF6A62"/>
    <w:rsid w:val="00DF6CE6"/>
    <w:rsid w:val="00DF6D12"/>
    <w:rsid w:val="00DF6FD2"/>
    <w:rsid w:val="00DF714E"/>
    <w:rsid w:val="00DF731B"/>
    <w:rsid w:val="00DF7863"/>
    <w:rsid w:val="00DF7B47"/>
    <w:rsid w:val="00DF7B49"/>
    <w:rsid w:val="00DF7C7C"/>
    <w:rsid w:val="00DF7FBE"/>
    <w:rsid w:val="00E00198"/>
    <w:rsid w:val="00E0022A"/>
    <w:rsid w:val="00E00342"/>
    <w:rsid w:val="00E00A17"/>
    <w:rsid w:val="00E00D79"/>
    <w:rsid w:val="00E00EC1"/>
    <w:rsid w:val="00E01010"/>
    <w:rsid w:val="00E01208"/>
    <w:rsid w:val="00E01230"/>
    <w:rsid w:val="00E014B0"/>
    <w:rsid w:val="00E014E5"/>
    <w:rsid w:val="00E015DE"/>
    <w:rsid w:val="00E016F0"/>
    <w:rsid w:val="00E01727"/>
    <w:rsid w:val="00E0191F"/>
    <w:rsid w:val="00E01B32"/>
    <w:rsid w:val="00E01BEE"/>
    <w:rsid w:val="00E01E21"/>
    <w:rsid w:val="00E01E29"/>
    <w:rsid w:val="00E01F32"/>
    <w:rsid w:val="00E020B6"/>
    <w:rsid w:val="00E0216D"/>
    <w:rsid w:val="00E021A8"/>
    <w:rsid w:val="00E022B1"/>
    <w:rsid w:val="00E022FC"/>
    <w:rsid w:val="00E02357"/>
    <w:rsid w:val="00E02393"/>
    <w:rsid w:val="00E023FD"/>
    <w:rsid w:val="00E02427"/>
    <w:rsid w:val="00E0242A"/>
    <w:rsid w:val="00E024EB"/>
    <w:rsid w:val="00E02558"/>
    <w:rsid w:val="00E02620"/>
    <w:rsid w:val="00E028D2"/>
    <w:rsid w:val="00E0297F"/>
    <w:rsid w:val="00E02A4E"/>
    <w:rsid w:val="00E02C95"/>
    <w:rsid w:val="00E030D6"/>
    <w:rsid w:val="00E0311A"/>
    <w:rsid w:val="00E0319A"/>
    <w:rsid w:val="00E03230"/>
    <w:rsid w:val="00E03358"/>
    <w:rsid w:val="00E033B6"/>
    <w:rsid w:val="00E033D7"/>
    <w:rsid w:val="00E03545"/>
    <w:rsid w:val="00E03590"/>
    <w:rsid w:val="00E036B0"/>
    <w:rsid w:val="00E037FF"/>
    <w:rsid w:val="00E03AFF"/>
    <w:rsid w:val="00E03B13"/>
    <w:rsid w:val="00E03C69"/>
    <w:rsid w:val="00E04289"/>
    <w:rsid w:val="00E04426"/>
    <w:rsid w:val="00E045A3"/>
    <w:rsid w:val="00E04931"/>
    <w:rsid w:val="00E04A5C"/>
    <w:rsid w:val="00E04ADD"/>
    <w:rsid w:val="00E04BBD"/>
    <w:rsid w:val="00E04C81"/>
    <w:rsid w:val="00E04CB1"/>
    <w:rsid w:val="00E04D7F"/>
    <w:rsid w:val="00E04FA8"/>
    <w:rsid w:val="00E05164"/>
    <w:rsid w:val="00E05287"/>
    <w:rsid w:val="00E0562B"/>
    <w:rsid w:val="00E0581C"/>
    <w:rsid w:val="00E05905"/>
    <w:rsid w:val="00E05F7F"/>
    <w:rsid w:val="00E06099"/>
    <w:rsid w:val="00E0691B"/>
    <w:rsid w:val="00E06A3D"/>
    <w:rsid w:val="00E06CD4"/>
    <w:rsid w:val="00E06D96"/>
    <w:rsid w:val="00E06E84"/>
    <w:rsid w:val="00E070E5"/>
    <w:rsid w:val="00E076DF"/>
    <w:rsid w:val="00E076E1"/>
    <w:rsid w:val="00E07EC0"/>
    <w:rsid w:val="00E105A9"/>
    <w:rsid w:val="00E1071A"/>
    <w:rsid w:val="00E10BB3"/>
    <w:rsid w:val="00E10C78"/>
    <w:rsid w:val="00E117E0"/>
    <w:rsid w:val="00E118C7"/>
    <w:rsid w:val="00E11941"/>
    <w:rsid w:val="00E11C7A"/>
    <w:rsid w:val="00E11D7F"/>
    <w:rsid w:val="00E11D96"/>
    <w:rsid w:val="00E11ED9"/>
    <w:rsid w:val="00E11F84"/>
    <w:rsid w:val="00E12055"/>
    <w:rsid w:val="00E120B8"/>
    <w:rsid w:val="00E123BA"/>
    <w:rsid w:val="00E12861"/>
    <w:rsid w:val="00E12ABB"/>
    <w:rsid w:val="00E130C1"/>
    <w:rsid w:val="00E131D4"/>
    <w:rsid w:val="00E1321C"/>
    <w:rsid w:val="00E132C1"/>
    <w:rsid w:val="00E13507"/>
    <w:rsid w:val="00E135FC"/>
    <w:rsid w:val="00E1377F"/>
    <w:rsid w:val="00E13AEC"/>
    <w:rsid w:val="00E1402E"/>
    <w:rsid w:val="00E14054"/>
    <w:rsid w:val="00E1421E"/>
    <w:rsid w:val="00E1430E"/>
    <w:rsid w:val="00E14470"/>
    <w:rsid w:val="00E14C80"/>
    <w:rsid w:val="00E14DE1"/>
    <w:rsid w:val="00E14E28"/>
    <w:rsid w:val="00E14E98"/>
    <w:rsid w:val="00E1503D"/>
    <w:rsid w:val="00E156D5"/>
    <w:rsid w:val="00E15736"/>
    <w:rsid w:val="00E157C6"/>
    <w:rsid w:val="00E15801"/>
    <w:rsid w:val="00E1585E"/>
    <w:rsid w:val="00E15B1E"/>
    <w:rsid w:val="00E15B92"/>
    <w:rsid w:val="00E15E43"/>
    <w:rsid w:val="00E15E4F"/>
    <w:rsid w:val="00E16000"/>
    <w:rsid w:val="00E1628A"/>
    <w:rsid w:val="00E165BD"/>
    <w:rsid w:val="00E166D6"/>
    <w:rsid w:val="00E1677A"/>
    <w:rsid w:val="00E16BBB"/>
    <w:rsid w:val="00E16C95"/>
    <w:rsid w:val="00E16E4B"/>
    <w:rsid w:val="00E170A2"/>
    <w:rsid w:val="00E171E2"/>
    <w:rsid w:val="00E171F8"/>
    <w:rsid w:val="00E1727D"/>
    <w:rsid w:val="00E174AF"/>
    <w:rsid w:val="00E174B3"/>
    <w:rsid w:val="00E17537"/>
    <w:rsid w:val="00E1776E"/>
    <w:rsid w:val="00E17874"/>
    <w:rsid w:val="00E179F6"/>
    <w:rsid w:val="00E17C10"/>
    <w:rsid w:val="00E17D40"/>
    <w:rsid w:val="00E17FE8"/>
    <w:rsid w:val="00E20171"/>
    <w:rsid w:val="00E201E1"/>
    <w:rsid w:val="00E208B3"/>
    <w:rsid w:val="00E20982"/>
    <w:rsid w:val="00E20BE0"/>
    <w:rsid w:val="00E20F01"/>
    <w:rsid w:val="00E20F70"/>
    <w:rsid w:val="00E21051"/>
    <w:rsid w:val="00E21348"/>
    <w:rsid w:val="00E216F0"/>
    <w:rsid w:val="00E21ABC"/>
    <w:rsid w:val="00E220F9"/>
    <w:rsid w:val="00E221B3"/>
    <w:rsid w:val="00E2241B"/>
    <w:rsid w:val="00E2243C"/>
    <w:rsid w:val="00E22513"/>
    <w:rsid w:val="00E22ACF"/>
    <w:rsid w:val="00E22DD2"/>
    <w:rsid w:val="00E230B6"/>
    <w:rsid w:val="00E231C4"/>
    <w:rsid w:val="00E233FC"/>
    <w:rsid w:val="00E234E1"/>
    <w:rsid w:val="00E2351D"/>
    <w:rsid w:val="00E23945"/>
    <w:rsid w:val="00E239C9"/>
    <w:rsid w:val="00E23A8E"/>
    <w:rsid w:val="00E23BE9"/>
    <w:rsid w:val="00E23D31"/>
    <w:rsid w:val="00E23E1A"/>
    <w:rsid w:val="00E23EBA"/>
    <w:rsid w:val="00E2402E"/>
    <w:rsid w:val="00E24054"/>
    <w:rsid w:val="00E2416A"/>
    <w:rsid w:val="00E24263"/>
    <w:rsid w:val="00E242B9"/>
    <w:rsid w:val="00E2431F"/>
    <w:rsid w:val="00E24390"/>
    <w:rsid w:val="00E2440A"/>
    <w:rsid w:val="00E2448D"/>
    <w:rsid w:val="00E244C5"/>
    <w:rsid w:val="00E2459C"/>
    <w:rsid w:val="00E24719"/>
    <w:rsid w:val="00E24C8D"/>
    <w:rsid w:val="00E24D4A"/>
    <w:rsid w:val="00E24E39"/>
    <w:rsid w:val="00E250A7"/>
    <w:rsid w:val="00E2513F"/>
    <w:rsid w:val="00E251B4"/>
    <w:rsid w:val="00E253F3"/>
    <w:rsid w:val="00E254F9"/>
    <w:rsid w:val="00E2562C"/>
    <w:rsid w:val="00E256D8"/>
    <w:rsid w:val="00E259DF"/>
    <w:rsid w:val="00E25A26"/>
    <w:rsid w:val="00E25D26"/>
    <w:rsid w:val="00E25D90"/>
    <w:rsid w:val="00E2629E"/>
    <w:rsid w:val="00E26518"/>
    <w:rsid w:val="00E2678C"/>
    <w:rsid w:val="00E26997"/>
    <w:rsid w:val="00E26B1E"/>
    <w:rsid w:val="00E26B27"/>
    <w:rsid w:val="00E26B99"/>
    <w:rsid w:val="00E26D30"/>
    <w:rsid w:val="00E271EA"/>
    <w:rsid w:val="00E2737A"/>
    <w:rsid w:val="00E2752D"/>
    <w:rsid w:val="00E276BC"/>
    <w:rsid w:val="00E276C6"/>
    <w:rsid w:val="00E276F1"/>
    <w:rsid w:val="00E27D7A"/>
    <w:rsid w:val="00E27ECF"/>
    <w:rsid w:val="00E27F93"/>
    <w:rsid w:val="00E300C2"/>
    <w:rsid w:val="00E304CD"/>
    <w:rsid w:val="00E3056E"/>
    <w:rsid w:val="00E306C4"/>
    <w:rsid w:val="00E307C2"/>
    <w:rsid w:val="00E308E7"/>
    <w:rsid w:val="00E30C64"/>
    <w:rsid w:val="00E30C7E"/>
    <w:rsid w:val="00E30DEE"/>
    <w:rsid w:val="00E31109"/>
    <w:rsid w:val="00E3112E"/>
    <w:rsid w:val="00E3113C"/>
    <w:rsid w:val="00E3121E"/>
    <w:rsid w:val="00E31498"/>
    <w:rsid w:val="00E31567"/>
    <w:rsid w:val="00E319E2"/>
    <w:rsid w:val="00E31AE7"/>
    <w:rsid w:val="00E31BC7"/>
    <w:rsid w:val="00E31C33"/>
    <w:rsid w:val="00E31C41"/>
    <w:rsid w:val="00E31C4F"/>
    <w:rsid w:val="00E31EF0"/>
    <w:rsid w:val="00E3236C"/>
    <w:rsid w:val="00E32526"/>
    <w:rsid w:val="00E326F8"/>
    <w:rsid w:val="00E328E9"/>
    <w:rsid w:val="00E32970"/>
    <w:rsid w:val="00E329F8"/>
    <w:rsid w:val="00E32A18"/>
    <w:rsid w:val="00E32A3F"/>
    <w:rsid w:val="00E32AC4"/>
    <w:rsid w:val="00E32CE6"/>
    <w:rsid w:val="00E32DB8"/>
    <w:rsid w:val="00E3314C"/>
    <w:rsid w:val="00E332B4"/>
    <w:rsid w:val="00E33334"/>
    <w:rsid w:val="00E333CA"/>
    <w:rsid w:val="00E334AB"/>
    <w:rsid w:val="00E3382E"/>
    <w:rsid w:val="00E33AB3"/>
    <w:rsid w:val="00E34227"/>
    <w:rsid w:val="00E3439D"/>
    <w:rsid w:val="00E3456B"/>
    <w:rsid w:val="00E347E0"/>
    <w:rsid w:val="00E34887"/>
    <w:rsid w:val="00E34A3D"/>
    <w:rsid w:val="00E34B70"/>
    <w:rsid w:val="00E34D77"/>
    <w:rsid w:val="00E34F5F"/>
    <w:rsid w:val="00E34FEB"/>
    <w:rsid w:val="00E3512D"/>
    <w:rsid w:val="00E352D1"/>
    <w:rsid w:val="00E35304"/>
    <w:rsid w:val="00E35367"/>
    <w:rsid w:val="00E3540E"/>
    <w:rsid w:val="00E356D1"/>
    <w:rsid w:val="00E357C1"/>
    <w:rsid w:val="00E35EDE"/>
    <w:rsid w:val="00E360D2"/>
    <w:rsid w:val="00E360F4"/>
    <w:rsid w:val="00E361E2"/>
    <w:rsid w:val="00E3629C"/>
    <w:rsid w:val="00E36511"/>
    <w:rsid w:val="00E365B3"/>
    <w:rsid w:val="00E365D0"/>
    <w:rsid w:val="00E36713"/>
    <w:rsid w:val="00E36736"/>
    <w:rsid w:val="00E3674E"/>
    <w:rsid w:val="00E36A3B"/>
    <w:rsid w:val="00E36A4D"/>
    <w:rsid w:val="00E36BAE"/>
    <w:rsid w:val="00E36DB1"/>
    <w:rsid w:val="00E36EE7"/>
    <w:rsid w:val="00E37426"/>
    <w:rsid w:val="00E37483"/>
    <w:rsid w:val="00E37508"/>
    <w:rsid w:val="00E37552"/>
    <w:rsid w:val="00E37655"/>
    <w:rsid w:val="00E37722"/>
    <w:rsid w:val="00E3780C"/>
    <w:rsid w:val="00E37976"/>
    <w:rsid w:val="00E3799C"/>
    <w:rsid w:val="00E37BA5"/>
    <w:rsid w:val="00E37C86"/>
    <w:rsid w:val="00E37EB3"/>
    <w:rsid w:val="00E37ED9"/>
    <w:rsid w:val="00E4008A"/>
    <w:rsid w:val="00E40339"/>
    <w:rsid w:val="00E40463"/>
    <w:rsid w:val="00E4074F"/>
    <w:rsid w:val="00E40C8A"/>
    <w:rsid w:val="00E40E88"/>
    <w:rsid w:val="00E40EE4"/>
    <w:rsid w:val="00E411E8"/>
    <w:rsid w:val="00E41289"/>
    <w:rsid w:val="00E4129E"/>
    <w:rsid w:val="00E41445"/>
    <w:rsid w:val="00E415D5"/>
    <w:rsid w:val="00E416C0"/>
    <w:rsid w:val="00E41719"/>
    <w:rsid w:val="00E418A3"/>
    <w:rsid w:val="00E41C32"/>
    <w:rsid w:val="00E4233F"/>
    <w:rsid w:val="00E42381"/>
    <w:rsid w:val="00E428BE"/>
    <w:rsid w:val="00E42A1D"/>
    <w:rsid w:val="00E42CD5"/>
    <w:rsid w:val="00E42E71"/>
    <w:rsid w:val="00E42FA0"/>
    <w:rsid w:val="00E4300E"/>
    <w:rsid w:val="00E430F3"/>
    <w:rsid w:val="00E43149"/>
    <w:rsid w:val="00E43157"/>
    <w:rsid w:val="00E43191"/>
    <w:rsid w:val="00E431D4"/>
    <w:rsid w:val="00E4347D"/>
    <w:rsid w:val="00E43698"/>
    <w:rsid w:val="00E43D1C"/>
    <w:rsid w:val="00E440C1"/>
    <w:rsid w:val="00E44201"/>
    <w:rsid w:val="00E442DD"/>
    <w:rsid w:val="00E447AC"/>
    <w:rsid w:val="00E448F1"/>
    <w:rsid w:val="00E44951"/>
    <w:rsid w:val="00E44971"/>
    <w:rsid w:val="00E44984"/>
    <w:rsid w:val="00E449B0"/>
    <w:rsid w:val="00E44C24"/>
    <w:rsid w:val="00E44D6E"/>
    <w:rsid w:val="00E44EAA"/>
    <w:rsid w:val="00E44EC0"/>
    <w:rsid w:val="00E45178"/>
    <w:rsid w:val="00E453AD"/>
    <w:rsid w:val="00E45763"/>
    <w:rsid w:val="00E45A50"/>
    <w:rsid w:val="00E45A6F"/>
    <w:rsid w:val="00E45AE3"/>
    <w:rsid w:val="00E45C83"/>
    <w:rsid w:val="00E4651F"/>
    <w:rsid w:val="00E4667D"/>
    <w:rsid w:val="00E466AC"/>
    <w:rsid w:val="00E466CE"/>
    <w:rsid w:val="00E46929"/>
    <w:rsid w:val="00E46B5C"/>
    <w:rsid w:val="00E46C5B"/>
    <w:rsid w:val="00E46D5C"/>
    <w:rsid w:val="00E46D76"/>
    <w:rsid w:val="00E46EF7"/>
    <w:rsid w:val="00E46F8B"/>
    <w:rsid w:val="00E471BC"/>
    <w:rsid w:val="00E471F3"/>
    <w:rsid w:val="00E47237"/>
    <w:rsid w:val="00E47500"/>
    <w:rsid w:val="00E47C1A"/>
    <w:rsid w:val="00E502CD"/>
    <w:rsid w:val="00E504FB"/>
    <w:rsid w:val="00E5052A"/>
    <w:rsid w:val="00E50568"/>
    <w:rsid w:val="00E5062B"/>
    <w:rsid w:val="00E5069E"/>
    <w:rsid w:val="00E5073E"/>
    <w:rsid w:val="00E5096B"/>
    <w:rsid w:val="00E50A61"/>
    <w:rsid w:val="00E50B4E"/>
    <w:rsid w:val="00E50C03"/>
    <w:rsid w:val="00E5113C"/>
    <w:rsid w:val="00E51298"/>
    <w:rsid w:val="00E513F5"/>
    <w:rsid w:val="00E516D8"/>
    <w:rsid w:val="00E51797"/>
    <w:rsid w:val="00E518B8"/>
    <w:rsid w:val="00E51AAB"/>
    <w:rsid w:val="00E51AD7"/>
    <w:rsid w:val="00E51AF8"/>
    <w:rsid w:val="00E51C2B"/>
    <w:rsid w:val="00E51D7E"/>
    <w:rsid w:val="00E51E73"/>
    <w:rsid w:val="00E51F67"/>
    <w:rsid w:val="00E51FB6"/>
    <w:rsid w:val="00E525EA"/>
    <w:rsid w:val="00E5271E"/>
    <w:rsid w:val="00E527A2"/>
    <w:rsid w:val="00E527D7"/>
    <w:rsid w:val="00E52A60"/>
    <w:rsid w:val="00E52A8F"/>
    <w:rsid w:val="00E52B19"/>
    <w:rsid w:val="00E52CB1"/>
    <w:rsid w:val="00E52CED"/>
    <w:rsid w:val="00E52F92"/>
    <w:rsid w:val="00E53544"/>
    <w:rsid w:val="00E536AC"/>
    <w:rsid w:val="00E5387E"/>
    <w:rsid w:val="00E538B5"/>
    <w:rsid w:val="00E53C33"/>
    <w:rsid w:val="00E53F9E"/>
    <w:rsid w:val="00E53FDA"/>
    <w:rsid w:val="00E54251"/>
    <w:rsid w:val="00E54258"/>
    <w:rsid w:val="00E5466A"/>
    <w:rsid w:val="00E54A56"/>
    <w:rsid w:val="00E54C0E"/>
    <w:rsid w:val="00E5503B"/>
    <w:rsid w:val="00E550BF"/>
    <w:rsid w:val="00E55771"/>
    <w:rsid w:val="00E5587E"/>
    <w:rsid w:val="00E559BB"/>
    <w:rsid w:val="00E55B1E"/>
    <w:rsid w:val="00E55D0D"/>
    <w:rsid w:val="00E56148"/>
    <w:rsid w:val="00E56158"/>
    <w:rsid w:val="00E5618D"/>
    <w:rsid w:val="00E56296"/>
    <w:rsid w:val="00E5660C"/>
    <w:rsid w:val="00E5669E"/>
    <w:rsid w:val="00E56A13"/>
    <w:rsid w:val="00E56AA0"/>
    <w:rsid w:val="00E56CAB"/>
    <w:rsid w:val="00E56FCE"/>
    <w:rsid w:val="00E57064"/>
    <w:rsid w:val="00E57125"/>
    <w:rsid w:val="00E57766"/>
    <w:rsid w:val="00E5787C"/>
    <w:rsid w:val="00E57B5E"/>
    <w:rsid w:val="00E57C9C"/>
    <w:rsid w:val="00E57D16"/>
    <w:rsid w:val="00E57E18"/>
    <w:rsid w:val="00E601C5"/>
    <w:rsid w:val="00E60866"/>
    <w:rsid w:val="00E609F5"/>
    <w:rsid w:val="00E60C94"/>
    <w:rsid w:val="00E60F9C"/>
    <w:rsid w:val="00E60F9F"/>
    <w:rsid w:val="00E610A5"/>
    <w:rsid w:val="00E6126D"/>
    <w:rsid w:val="00E61396"/>
    <w:rsid w:val="00E61560"/>
    <w:rsid w:val="00E616FE"/>
    <w:rsid w:val="00E61A31"/>
    <w:rsid w:val="00E61AF8"/>
    <w:rsid w:val="00E61B8D"/>
    <w:rsid w:val="00E621A3"/>
    <w:rsid w:val="00E621EF"/>
    <w:rsid w:val="00E62210"/>
    <w:rsid w:val="00E62395"/>
    <w:rsid w:val="00E62406"/>
    <w:rsid w:val="00E62582"/>
    <w:rsid w:val="00E627B7"/>
    <w:rsid w:val="00E628AB"/>
    <w:rsid w:val="00E62A50"/>
    <w:rsid w:val="00E62C44"/>
    <w:rsid w:val="00E62E73"/>
    <w:rsid w:val="00E62ED4"/>
    <w:rsid w:val="00E63029"/>
    <w:rsid w:val="00E63339"/>
    <w:rsid w:val="00E63511"/>
    <w:rsid w:val="00E6366C"/>
    <w:rsid w:val="00E637AF"/>
    <w:rsid w:val="00E637EC"/>
    <w:rsid w:val="00E63F79"/>
    <w:rsid w:val="00E64060"/>
    <w:rsid w:val="00E640EB"/>
    <w:rsid w:val="00E6421E"/>
    <w:rsid w:val="00E6425F"/>
    <w:rsid w:val="00E644D0"/>
    <w:rsid w:val="00E64520"/>
    <w:rsid w:val="00E64539"/>
    <w:rsid w:val="00E6471C"/>
    <w:rsid w:val="00E6487B"/>
    <w:rsid w:val="00E64890"/>
    <w:rsid w:val="00E648EE"/>
    <w:rsid w:val="00E649CC"/>
    <w:rsid w:val="00E64AF0"/>
    <w:rsid w:val="00E64BCD"/>
    <w:rsid w:val="00E64CC7"/>
    <w:rsid w:val="00E64CD1"/>
    <w:rsid w:val="00E64D7A"/>
    <w:rsid w:val="00E64EAB"/>
    <w:rsid w:val="00E6524B"/>
    <w:rsid w:val="00E65325"/>
    <w:rsid w:val="00E6552A"/>
    <w:rsid w:val="00E65550"/>
    <w:rsid w:val="00E65732"/>
    <w:rsid w:val="00E65A03"/>
    <w:rsid w:val="00E65DBE"/>
    <w:rsid w:val="00E65FE4"/>
    <w:rsid w:val="00E661AB"/>
    <w:rsid w:val="00E663E9"/>
    <w:rsid w:val="00E66473"/>
    <w:rsid w:val="00E6670D"/>
    <w:rsid w:val="00E667E9"/>
    <w:rsid w:val="00E66842"/>
    <w:rsid w:val="00E668F8"/>
    <w:rsid w:val="00E66927"/>
    <w:rsid w:val="00E66C06"/>
    <w:rsid w:val="00E66E64"/>
    <w:rsid w:val="00E66E74"/>
    <w:rsid w:val="00E67069"/>
    <w:rsid w:val="00E671A8"/>
    <w:rsid w:val="00E671BD"/>
    <w:rsid w:val="00E67258"/>
    <w:rsid w:val="00E67464"/>
    <w:rsid w:val="00E6754B"/>
    <w:rsid w:val="00E6769A"/>
    <w:rsid w:val="00E67775"/>
    <w:rsid w:val="00E67B71"/>
    <w:rsid w:val="00E67B87"/>
    <w:rsid w:val="00E67CA0"/>
    <w:rsid w:val="00E67CA5"/>
    <w:rsid w:val="00E67D87"/>
    <w:rsid w:val="00E67E5B"/>
    <w:rsid w:val="00E7044B"/>
    <w:rsid w:val="00E70A84"/>
    <w:rsid w:val="00E70CB6"/>
    <w:rsid w:val="00E70F93"/>
    <w:rsid w:val="00E711A0"/>
    <w:rsid w:val="00E71539"/>
    <w:rsid w:val="00E71549"/>
    <w:rsid w:val="00E71573"/>
    <w:rsid w:val="00E715DB"/>
    <w:rsid w:val="00E716A0"/>
    <w:rsid w:val="00E716E8"/>
    <w:rsid w:val="00E7177B"/>
    <w:rsid w:val="00E71906"/>
    <w:rsid w:val="00E71B72"/>
    <w:rsid w:val="00E71B84"/>
    <w:rsid w:val="00E71DDC"/>
    <w:rsid w:val="00E71F96"/>
    <w:rsid w:val="00E721AB"/>
    <w:rsid w:val="00E723EA"/>
    <w:rsid w:val="00E7262E"/>
    <w:rsid w:val="00E72676"/>
    <w:rsid w:val="00E726BD"/>
    <w:rsid w:val="00E72C2F"/>
    <w:rsid w:val="00E7345A"/>
    <w:rsid w:val="00E7351F"/>
    <w:rsid w:val="00E735DC"/>
    <w:rsid w:val="00E73ABD"/>
    <w:rsid w:val="00E73C1A"/>
    <w:rsid w:val="00E73DB3"/>
    <w:rsid w:val="00E73E95"/>
    <w:rsid w:val="00E7400B"/>
    <w:rsid w:val="00E740B6"/>
    <w:rsid w:val="00E7417E"/>
    <w:rsid w:val="00E743C2"/>
    <w:rsid w:val="00E7440F"/>
    <w:rsid w:val="00E74662"/>
    <w:rsid w:val="00E74705"/>
    <w:rsid w:val="00E747A1"/>
    <w:rsid w:val="00E7496C"/>
    <w:rsid w:val="00E74C1D"/>
    <w:rsid w:val="00E7511B"/>
    <w:rsid w:val="00E751F7"/>
    <w:rsid w:val="00E75439"/>
    <w:rsid w:val="00E7558D"/>
    <w:rsid w:val="00E7567C"/>
    <w:rsid w:val="00E75732"/>
    <w:rsid w:val="00E75822"/>
    <w:rsid w:val="00E758E4"/>
    <w:rsid w:val="00E7597F"/>
    <w:rsid w:val="00E75A89"/>
    <w:rsid w:val="00E75B07"/>
    <w:rsid w:val="00E75B8D"/>
    <w:rsid w:val="00E75C30"/>
    <w:rsid w:val="00E75D65"/>
    <w:rsid w:val="00E75EAE"/>
    <w:rsid w:val="00E75EEE"/>
    <w:rsid w:val="00E76185"/>
    <w:rsid w:val="00E76649"/>
    <w:rsid w:val="00E76DC8"/>
    <w:rsid w:val="00E76E75"/>
    <w:rsid w:val="00E76F53"/>
    <w:rsid w:val="00E7712C"/>
    <w:rsid w:val="00E77296"/>
    <w:rsid w:val="00E77894"/>
    <w:rsid w:val="00E77A22"/>
    <w:rsid w:val="00E8037E"/>
    <w:rsid w:val="00E80420"/>
    <w:rsid w:val="00E80507"/>
    <w:rsid w:val="00E8090D"/>
    <w:rsid w:val="00E80B29"/>
    <w:rsid w:val="00E80B58"/>
    <w:rsid w:val="00E80D9B"/>
    <w:rsid w:val="00E80E2A"/>
    <w:rsid w:val="00E810FC"/>
    <w:rsid w:val="00E81100"/>
    <w:rsid w:val="00E814F3"/>
    <w:rsid w:val="00E81918"/>
    <w:rsid w:val="00E819B5"/>
    <w:rsid w:val="00E81C06"/>
    <w:rsid w:val="00E820BD"/>
    <w:rsid w:val="00E8217C"/>
    <w:rsid w:val="00E8228A"/>
    <w:rsid w:val="00E8258D"/>
    <w:rsid w:val="00E827AC"/>
    <w:rsid w:val="00E827CE"/>
    <w:rsid w:val="00E82816"/>
    <w:rsid w:val="00E829AA"/>
    <w:rsid w:val="00E82E7E"/>
    <w:rsid w:val="00E831F2"/>
    <w:rsid w:val="00E835C4"/>
    <w:rsid w:val="00E839DF"/>
    <w:rsid w:val="00E83BA8"/>
    <w:rsid w:val="00E83C70"/>
    <w:rsid w:val="00E83D3D"/>
    <w:rsid w:val="00E83E86"/>
    <w:rsid w:val="00E83FD2"/>
    <w:rsid w:val="00E8417E"/>
    <w:rsid w:val="00E8433B"/>
    <w:rsid w:val="00E84342"/>
    <w:rsid w:val="00E8434F"/>
    <w:rsid w:val="00E843DC"/>
    <w:rsid w:val="00E843F3"/>
    <w:rsid w:val="00E8444F"/>
    <w:rsid w:val="00E844B3"/>
    <w:rsid w:val="00E848FD"/>
    <w:rsid w:val="00E84972"/>
    <w:rsid w:val="00E84C7F"/>
    <w:rsid w:val="00E84D23"/>
    <w:rsid w:val="00E84EAA"/>
    <w:rsid w:val="00E8500A"/>
    <w:rsid w:val="00E85196"/>
    <w:rsid w:val="00E851A4"/>
    <w:rsid w:val="00E851FF"/>
    <w:rsid w:val="00E85204"/>
    <w:rsid w:val="00E852B9"/>
    <w:rsid w:val="00E852D9"/>
    <w:rsid w:val="00E8554E"/>
    <w:rsid w:val="00E856F7"/>
    <w:rsid w:val="00E85833"/>
    <w:rsid w:val="00E8613F"/>
    <w:rsid w:val="00E861E5"/>
    <w:rsid w:val="00E86418"/>
    <w:rsid w:val="00E8663C"/>
    <w:rsid w:val="00E86BC2"/>
    <w:rsid w:val="00E86F0A"/>
    <w:rsid w:val="00E86F71"/>
    <w:rsid w:val="00E872F1"/>
    <w:rsid w:val="00E876ED"/>
    <w:rsid w:val="00E87737"/>
    <w:rsid w:val="00E87746"/>
    <w:rsid w:val="00E879D4"/>
    <w:rsid w:val="00E87C0E"/>
    <w:rsid w:val="00E87E3B"/>
    <w:rsid w:val="00E901CE"/>
    <w:rsid w:val="00E9056D"/>
    <w:rsid w:val="00E905EF"/>
    <w:rsid w:val="00E907D7"/>
    <w:rsid w:val="00E90CF6"/>
    <w:rsid w:val="00E90DAA"/>
    <w:rsid w:val="00E90E97"/>
    <w:rsid w:val="00E910FA"/>
    <w:rsid w:val="00E912D0"/>
    <w:rsid w:val="00E912EA"/>
    <w:rsid w:val="00E91602"/>
    <w:rsid w:val="00E916F0"/>
    <w:rsid w:val="00E918DE"/>
    <w:rsid w:val="00E91D95"/>
    <w:rsid w:val="00E91DA2"/>
    <w:rsid w:val="00E91E22"/>
    <w:rsid w:val="00E91E93"/>
    <w:rsid w:val="00E920B0"/>
    <w:rsid w:val="00E920D8"/>
    <w:rsid w:val="00E9232C"/>
    <w:rsid w:val="00E9257B"/>
    <w:rsid w:val="00E927B3"/>
    <w:rsid w:val="00E92FD4"/>
    <w:rsid w:val="00E93376"/>
    <w:rsid w:val="00E93415"/>
    <w:rsid w:val="00E934A1"/>
    <w:rsid w:val="00E939AE"/>
    <w:rsid w:val="00E939C8"/>
    <w:rsid w:val="00E93A78"/>
    <w:rsid w:val="00E93AB4"/>
    <w:rsid w:val="00E93B12"/>
    <w:rsid w:val="00E93BE7"/>
    <w:rsid w:val="00E93C30"/>
    <w:rsid w:val="00E93C88"/>
    <w:rsid w:val="00E93D2C"/>
    <w:rsid w:val="00E941BC"/>
    <w:rsid w:val="00E94282"/>
    <w:rsid w:val="00E942B0"/>
    <w:rsid w:val="00E9485D"/>
    <w:rsid w:val="00E94B11"/>
    <w:rsid w:val="00E94D7F"/>
    <w:rsid w:val="00E94E26"/>
    <w:rsid w:val="00E952C2"/>
    <w:rsid w:val="00E9535E"/>
    <w:rsid w:val="00E95375"/>
    <w:rsid w:val="00E9549F"/>
    <w:rsid w:val="00E95500"/>
    <w:rsid w:val="00E95AAD"/>
    <w:rsid w:val="00E95B71"/>
    <w:rsid w:val="00E95B9C"/>
    <w:rsid w:val="00E95CB7"/>
    <w:rsid w:val="00E95D56"/>
    <w:rsid w:val="00E95DB4"/>
    <w:rsid w:val="00E95DE0"/>
    <w:rsid w:val="00E95E10"/>
    <w:rsid w:val="00E962E9"/>
    <w:rsid w:val="00E9645A"/>
    <w:rsid w:val="00E9668E"/>
    <w:rsid w:val="00E966DB"/>
    <w:rsid w:val="00E96755"/>
    <w:rsid w:val="00E96AE1"/>
    <w:rsid w:val="00E96B9D"/>
    <w:rsid w:val="00E96F45"/>
    <w:rsid w:val="00E971FD"/>
    <w:rsid w:val="00E97392"/>
    <w:rsid w:val="00E973DF"/>
    <w:rsid w:val="00E97636"/>
    <w:rsid w:val="00E97725"/>
    <w:rsid w:val="00E97912"/>
    <w:rsid w:val="00E97C0B"/>
    <w:rsid w:val="00E97E5F"/>
    <w:rsid w:val="00E97F4E"/>
    <w:rsid w:val="00EA005D"/>
    <w:rsid w:val="00EA00E4"/>
    <w:rsid w:val="00EA0104"/>
    <w:rsid w:val="00EA01B9"/>
    <w:rsid w:val="00EA01F2"/>
    <w:rsid w:val="00EA057A"/>
    <w:rsid w:val="00EA069A"/>
    <w:rsid w:val="00EA07B5"/>
    <w:rsid w:val="00EA07BB"/>
    <w:rsid w:val="00EA08CB"/>
    <w:rsid w:val="00EA1236"/>
    <w:rsid w:val="00EA12B6"/>
    <w:rsid w:val="00EA1317"/>
    <w:rsid w:val="00EA13B2"/>
    <w:rsid w:val="00EA13C0"/>
    <w:rsid w:val="00EA1424"/>
    <w:rsid w:val="00EA14EB"/>
    <w:rsid w:val="00EA1667"/>
    <w:rsid w:val="00EA182C"/>
    <w:rsid w:val="00EA18CF"/>
    <w:rsid w:val="00EA1988"/>
    <w:rsid w:val="00EA19D5"/>
    <w:rsid w:val="00EA1AE9"/>
    <w:rsid w:val="00EA1CF4"/>
    <w:rsid w:val="00EA1F1C"/>
    <w:rsid w:val="00EA24CB"/>
    <w:rsid w:val="00EA2598"/>
    <w:rsid w:val="00EA29D5"/>
    <w:rsid w:val="00EA29E7"/>
    <w:rsid w:val="00EA2D9F"/>
    <w:rsid w:val="00EA2E6E"/>
    <w:rsid w:val="00EA2E80"/>
    <w:rsid w:val="00EA2F5C"/>
    <w:rsid w:val="00EA2F8E"/>
    <w:rsid w:val="00EA2FBF"/>
    <w:rsid w:val="00EA2FCA"/>
    <w:rsid w:val="00EA2FF0"/>
    <w:rsid w:val="00EA314A"/>
    <w:rsid w:val="00EA316B"/>
    <w:rsid w:val="00EA3352"/>
    <w:rsid w:val="00EA3361"/>
    <w:rsid w:val="00EA372D"/>
    <w:rsid w:val="00EA37DF"/>
    <w:rsid w:val="00EA3811"/>
    <w:rsid w:val="00EA39FE"/>
    <w:rsid w:val="00EA3A5F"/>
    <w:rsid w:val="00EA3AEB"/>
    <w:rsid w:val="00EA3BB5"/>
    <w:rsid w:val="00EA3E11"/>
    <w:rsid w:val="00EA4375"/>
    <w:rsid w:val="00EA46DD"/>
    <w:rsid w:val="00EA476D"/>
    <w:rsid w:val="00EA477E"/>
    <w:rsid w:val="00EA49ED"/>
    <w:rsid w:val="00EA4AF6"/>
    <w:rsid w:val="00EA4C29"/>
    <w:rsid w:val="00EA4D18"/>
    <w:rsid w:val="00EA516E"/>
    <w:rsid w:val="00EA51C2"/>
    <w:rsid w:val="00EA51DC"/>
    <w:rsid w:val="00EA526F"/>
    <w:rsid w:val="00EA592A"/>
    <w:rsid w:val="00EA5A3A"/>
    <w:rsid w:val="00EA5DFC"/>
    <w:rsid w:val="00EA5EE2"/>
    <w:rsid w:val="00EA6421"/>
    <w:rsid w:val="00EA66B0"/>
    <w:rsid w:val="00EA68FF"/>
    <w:rsid w:val="00EA6917"/>
    <w:rsid w:val="00EA698A"/>
    <w:rsid w:val="00EA6D45"/>
    <w:rsid w:val="00EA6DF2"/>
    <w:rsid w:val="00EA7295"/>
    <w:rsid w:val="00EA7394"/>
    <w:rsid w:val="00EA7683"/>
    <w:rsid w:val="00EA7776"/>
    <w:rsid w:val="00EA77D7"/>
    <w:rsid w:val="00EA78D6"/>
    <w:rsid w:val="00EA7B72"/>
    <w:rsid w:val="00EA7C7D"/>
    <w:rsid w:val="00EA7D49"/>
    <w:rsid w:val="00EA7D82"/>
    <w:rsid w:val="00EA7E48"/>
    <w:rsid w:val="00EA7F72"/>
    <w:rsid w:val="00EA7FA1"/>
    <w:rsid w:val="00EB0229"/>
    <w:rsid w:val="00EB035A"/>
    <w:rsid w:val="00EB03C7"/>
    <w:rsid w:val="00EB03DF"/>
    <w:rsid w:val="00EB0436"/>
    <w:rsid w:val="00EB0523"/>
    <w:rsid w:val="00EB07BF"/>
    <w:rsid w:val="00EB0854"/>
    <w:rsid w:val="00EB0924"/>
    <w:rsid w:val="00EB0A1B"/>
    <w:rsid w:val="00EB0B8B"/>
    <w:rsid w:val="00EB0E05"/>
    <w:rsid w:val="00EB0FC9"/>
    <w:rsid w:val="00EB10DA"/>
    <w:rsid w:val="00EB13B6"/>
    <w:rsid w:val="00EB14CF"/>
    <w:rsid w:val="00EB1778"/>
    <w:rsid w:val="00EB1A2F"/>
    <w:rsid w:val="00EB1AE0"/>
    <w:rsid w:val="00EB1E8E"/>
    <w:rsid w:val="00EB2000"/>
    <w:rsid w:val="00EB20ED"/>
    <w:rsid w:val="00EB2330"/>
    <w:rsid w:val="00EB25BC"/>
    <w:rsid w:val="00EB268E"/>
    <w:rsid w:val="00EB316C"/>
    <w:rsid w:val="00EB325F"/>
    <w:rsid w:val="00EB35DB"/>
    <w:rsid w:val="00EB37FD"/>
    <w:rsid w:val="00EB382B"/>
    <w:rsid w:val="00EB389D"/>
    <w:rsid w:val="00EB3989"/>
    <w:rsid w:val="00EB3CB7"/>
    <w:rsid w:val="00EB40D4"/>
    <w:rsid w:val="00EB40E8"/>
    <w:rsid w:val="00EB4276"/>
    <w:rsid w:val="00EB43A8"/>
    <w:rsid w:val="00EB440F"/>
    <w:rsid w:val="00EB466F"/>
    <w:rsid w:val="00EB47A6"/>
    <w:rsid w:val="00EB4858"/>
    <w:rsid w:val="00EB4B8D"/>
    <w:rsid w:val="00EB503F"/>
    <w:rsid w:val="00EB5110"/>
    <w:rsid w:val="00EB5376"/>
    <w:rsid w:val="00EB5A9D"/>
    <w:rsid w:val="00EB5FB3"/>
    <w:rsid w:val="00EB6179"/>
    <w:rsid w:val="00EB61F5"/>
    <w:rsid w:val="00EB62C8"/>
    <w:rsid w:val="00EB657C"/>
    <w:rsid w:val="00EB6845"/>
    <w:rsid w:val="00EB69A6"/>
    <w:rsid w:val="00EB6E8E"/>
    <w:rsid w:val="00EB6F9A"/>
    <w:rsid w:val="00EB6FCB"/>
    <w:rsid w:val="00EB7016"/>
    <w:rsid w:val="00EB7146"/>
    <w:rsid w:val="00EB769F"/>
    <w:rsid w:val="00EB7CCB"/>
    <w:rsid w:val="00EC016A"/>
    <w:rsid w:val="00EC0308"/>
    <w:rsid w:val="00EC0901"/>
    <w:rsid w:val="00EC0A1E"/>
    <w:rsid w:val="00EC0C21"/>
    <w:rsid w:val="00EC0C58"/>
    <w:rsid w:val="00EC0CAD"/>
    <w:rsid w:val="00EC0CD4"/>
    <w:rsid w:val="00EC0F7E"/>
    <w:rsid w:val="00EC1167"/>
    <w:rsid w:val="00EC1345"/>
    <w:rsid w:val="00EC1453"/>
    <w:rsid w:val="00EC147A"/>
    <w:rsid w:val="00EC186B"/>
    <w:rsid w:val="00EC19DA"/>
    <w:rsid w:val="00EC1DB3"/>
    <w:rsid w:val="00EC1FAF"/>
    <w:rsid w:val="00EC20AB"/>
    <w:rsid w:val="00EC2115"/>
    <w:rsid w:val="00EC24A8"/>
    <w:rsid w:val="00EC2616"/>
    <w:rsid w:val="00EC28EE"/>
    <w:rsid w:val="00EC290C"/>
    <w:rsid w:val="00EC2933"/>
    <w:rsid w:val="00EC29F6"/>
    <w:rsid w:val="00EC2AD3"/>
    <w:rsid w:val="00EC2C6F"/>
    <w:rsid w:val="00EC2DC1"/>
    <w:rsid w:val="00EC2FA3"/>
    <w:rsid w:val="00EC3253"/>
    <w:rsid w:val="00EC32CA"/>
    <w:rsid w:val="00EC3355"/>
    <w:rsid w:val="00EC33C5"/>
    <w:rsid w:val="00EC39A6"/>
    <w:rsid w:val="00EC3BEB"/>
    <w:rsid w:val="00EC3C41"/>
    <w:rsid w:val="00EC3F90"/>
    <w:rsid w:val="00EC46D4"/>
    <w:rsid w:val="00EC4987"/>
    <w:rsid w:val="00EC4AB6"/>
    <w:rsid w:val="00EC4BA9"/>
    <w:rsid w:val="00EC4D41"/>
    <w:rsid w:val="00EC4F67"/>
    <w:rsid w:val="00EC4F7D"/>
    <w:rsid w:val="00EC4FF3"/>
    <w:rsid w:val="00EC500F"/>
    <w:rsid w:val="00EC50C3"/>
    <w:rsid w:val="00EC50D7"/>
    <w:rsid w:val="00EC5259"/>
    <w:rsid w:val="00EC5274"/>
    <w:rsid w:val="00EC56F4"/>
    <w:rsid w:val="00EC5C3A"/>
    <w:rsid w:val="00EC5E2A"/>
    <w:rsid w:val="00EC5FC7"/>
    <w:rsid w:val="00EC6019"/>
    <w:rsid w:val="00EC65F6"/>
    <w:rsid w:val="00EC6696"/>
    <w:rsid w:val="00EC68C7"/>
    <w:rsid w:val="00EC69B6"/>
    <w:rsid w:val="00EC6A83"/>
    <w:rsid w:val="00EC6B57"/>
    <w:rsid w:val="00EC6C23"/>
    <w:rsid w:val="00EC6CC9"/>
    <w:rsid w:val="00EC6CEE"/>
    <w:rsid w:val="00EC7123"/>
    <w:rsid w:val="00EC7521"/>
    <w:rsid w:val="00EC75F1"/>
    <w:rsid w:val="00EC7767"/>
    <w:rsid w:val="00EC792C"/>
    <w:rsid w:val="00EC7995"/>
    <w:rsid w:val="00EC7A71"/>
    <w:rsid w:val="00EC7B96"/>
    <w:rsid w:val="00EC7FED"/>
    <w:rsid w:val="00ED00B2"/>
    <w:rsid w:val="00ED035D"/>
    <w:rsid w:val="00ED03EB"/>
    <w:rsid w:val="00ED03FC"/>
    <w:rsid w:val="00ED0402"/>
    <w:rsid w:val="00ED047C"/>
    <w:rsid w:val="00ED05AD"/>
    <w:rsid w:val="00ED08AA"/>
    <w:rsid w:val="00ED0D0A"/>
    <w:rsid w:val="00ED10CB"/>
    <w:rsid w:val="00ED12A1"/>
    <w:rsid w:val="00ED16BE"/>
    <w:rsid w:val="00ED1EB4"/>
    <w:rsid w:val="00ED1F7B"/>
    <w:rsid w:val="00ED2081"/>
    <w:rsid w:val="00ED2135"/>
    <w:rsid w:val="00ED22B5"/>
    <w:rsid w:val="00ED2406"/>
    <w:rsid w:val="00ED271D"/>
    <w:rsid w:val="00ED2834"/>
    <w:rsid w:val="00ED29A6"/>
    <w:rsid w:val="00ED2ADD"/>
    <w:rsid w:val="00ED2C29"/>
    <w:rsid w:val="00ED3064"/>
    <w:rsid w:val="00ED3081"/>
    <w:rsid w:val="00ED3278"/>
    <w:rsid w:val="00ED34B2"/>
    <w:rsid w:val="00ED352A"/>
    <w:rsid w:val="00ED35C4"/>
    <w:rsid w:val="00ED374E"/>
    <w:rsid w:val="00ED39E5"/>
    <w:rsid w:val="00ED3A8B"/>
    <w:rsid w:val="00ED3CC3"/>
    <w:rsid w:val="00ED3DCB"/>
    <w:rsid w:val="00ED42AB"/>
    <w:rsid w:val="00ED42D8"/>
    <w:rsid w:val="00ED4408"/>
    <w:rsid w:val="00ED4460"/>
    <w:rsid w:val="00ED4583"/>
    <w:rsid w:val="00ED4B46"/>
    <w:rsid w:val="00ED4BE1"/>
    <w:rsid w:val="00ED4C50"/>
    <w:rsid w:val="00ED4F7D"/>
    <w:rsid w:val="00ED500A"/>
    <w:rsid w:val="00ED5417"/>
    <w:rsid w:val="00ED56F4"/>
    <w:rsid w:val="00ED5842"/>
    <w:rsid w:val="00ED5912"/>
    <w:rsid w:val="00ED591D"/>
    <w:rsid w:val="00ED5DC2"/>
    <w:rsid w:val="00ED5DD3"/>
    <w:rsid w:val="00ED5E12"/>
    <w:rsid w:val="00ED5E2D"/>
    <w:rsid w:val="00ED5F55"/>
    <w:rsid w:val="00ED60BC"/>
    <w:rsid w:val="00ED629B"/>
    <w:rsid w:val="00ED6418"/>
    <w:rsid w:val="00ED64DE"/>
    <w:rsid w:val="00ED678A"/>
    <w:rsid w:val="00ED6948"/>
    <w:rsid w:val="00ED69D4"/>
    <w:rsid w:val="00ED6B5A"/>
    <w:rsid w:val="00ED6F2B"/>
    <w:rsid w:val="00ED7000"/>
    <w:rsid w:val="00ED70BD"/>
    <w:rsid w:val="00ED7535"/>
    <w:rsid w:val="00ED7672"/>
    <w:rsid w:val="00ED7768"/>
    <w:rsid w:val="00ED7891"/>
    <w:rsid w:val="00ED7943"/>
    <w:rsid w:val="00ED7CFB"/>
    <w:rsid w:val="00ED7E7F"/>
    <w:rsid w:val="00EE008B"/>
    <w:rsid w:val="00EE0262"/>
    <w:rsid w:val="00EE042F"/>
    <w:rsid w:val="00EE07F1"/>
    <w:rsid w:val="00EE0847"/>
    <w:rsid w:val="00EE0860"/>
    <w:rsid w:val="00EE09DC"/>
    <w:rsid w:val="00EE0AB6"/>
    <w:rsid w:val="00EE0C25"/>
    <w:rsid w:val="00EE13FD"/>
    <w:rsid w:val="00EE1676"/>
    <w:rsid w:val="00EE168D"/>
    <w:rsid w:val="00EE16B0"/>
    <w:rsid w:val="00EE16C9"/>
    <w:rsid w:val="00EE1725"/>
    <w:rsid w:val="00EE1729"/>
    <w:rsid w:val="00EE1739"/>
    <w:rsid w:val="00EE197B"/>
    <w:rsid w:val="00EE1A45"/>
    <w:rsid w:val="00EE1B7E"/>
    <w:rsid w:val="00EE1C7F"/>
    <w:rsid w:val="00EE1C9E"/>
    <w:rsid w:val="00EE1DBE"/>
    <w:rsid w:val="00EE1F1D"/>
    <w:rsid w:val="00EE1F60"/>
    <w:rsid w:val="00EE21BB"/>
    <w:rsid w:val="00EE2305"/>
    <w:rsid w:val="00EE23AD"/>
    <w:rsid w:val="00EE2455"/>
    <w:rsid w:val="00EE2899"/>
    <w:rsid w:val="00EE2B4C"/>
    <w:rsid w:val="00EE2EA4"/>
    <w:rsid w:val="00EE3044"/>
    <w:rsid w:val="00EE3143"/>
    <w:rsid w:val="00EE31CC"/>
    <w:rsid w:val="00EE363A"/>
    <w:rsid w:val="00EE363F"/>
    <w:rsid w:val="00EE375E"/>
    <w:rsid w:val="00EE37A3"/>
    <w:rsid w:val="00EE396C"/>
    <w:rsid w:val="00EE3BD8"/>
    <w:rsid w:val="00EE3C09"/>
    <w:rsid w:val="00EE3C0E"/>
    <w:rsid w:val="00EE3C1C"/>
    <w:rsid w:val="00EE3C50"/>
    <w:rsid w:val="00EE3D6A"/>
    <w:rsid w:val="00EE42EB"/>
    <w:rsid w:val="00EE47A7"/>
    <w:rsid w:val="00EE4B3B"/>
    <w:rsid w:val="00EE4CA9"/>
    <w:rsid w:val="00EE4EF4"/>
    <w:rsid w:val="00EE4F5E"/>
    <w:rsid w:val="00EE4FC7"/>
    <w:rsid w:val="00EE50D3"/>
    <w:rsid w:val="00EE5256"/>
    <w:rsid w:val="00EE580D"/>
    <w:rsid w:val="00EE5B01"/>
    <w:rsid w:val="00EE5B3F"/>
    <w:rsid w:val="00EE5ED1"/>
    <w:rsid w:val="00EE61A8"/>
    <w:rsid w:val="00EE647A"/>
    <w:rsid w:val="00EE675D"/>
    <w:rsid w:val="00EE6C00"/>
    <w:rsid w:val="00EE6E7E"/>
    <w:rsid w:val="00EE713D"/>
    <w:rsid w:val="00EE71B3"/>
    <w:rsid w:val="00EE72F2"/>
    <w:rsid w:val="00EE7AC4"/>
    <w:rsid w:val="00EE7AEA"/>
    <w:rsid w:val="00EE7B72"/>
    <w:rsid w:val="00EE7D90"/>
    <w:rsid w:val="00EE7F8E"/>
    <w:rsid w:val="00EF04B5"/>
    <w:rsid w:val="00EF07E3"/>
    <w:rsid w:val="00EF0951"/>
    <w:rsid w:val="00EF09F2"/>
    <w:rsid w:val="00EF0A1A"/>
    <w:rsid w:val="00EF0B4B"/>
    <w:rsid w:val="00EF0BAC"/>
    <w:rsid w:val="00EF103D"/>
    <w:rsid w:val="00EF10B1"/>
    <w:rsid w:val="00EF1163"/>
    <w:rsid w:val="00EF1235"/>
    <w:rsid w:val="00EF1257"/>
    <w:rsid w:val="00EF136C"/>
    <w:rsid w:val="00EF1517"/>
    <w:rsid w:val="00EF16A8"/>
    <w:rsid w:val="00EF17D4"/>
    <w:rsid w:val="00EF18E7"/>
    <w:rsid w:val="00EF193C"/>
    <w:rsid w:val="00EF1DC2"/>
    <w:rsid w:val="00EF2189"/>
    <w:rsid w:val="00EF26DD"/>
    <w:rsid w:val="00EF27D9"/>
    <w:rsid w:val="00EF2AA0"/>
    <w:rsid w:val="00EF3075"/>
    <w:rsid w:val="00EF31EE"/>
    <w:rsid w:val="00EF327D"/>
    <w:rsid w:val="00EF373C"/>
    <w:rsid w:val="00EF380C"/>
    <w:rsid w:val="00EF3B00"/>
    <w:rsid w:val="00EF3F1A"/>
    <w:rsid w:val="00EF4005"/>
    <w:rsid w:val="00EF431C"/>
    <w:rsid w:val="00EF4442"/>
    <w:rsid w:val="00EF4576"/>
    <w:rsid w:val="00EF487C"/>
    <w:rsid w:val="00EF4A21"/>
    <w:rsid w:val="00EF4A9B"/>
    <w:rsid w:val="00EF5025"/>
    <w:rsid w:val="00EF5141"/>
    <w:rsid w:val="00EF53BA"/>
    <w:rsid w:val="00EF5423"/>
    <w:rsid w:val="00EF562A"/>
    <w:rsid w:val="00EF58F2"/>
    <w:rsid w:val="00EF597F"/>
    <w:rsid w:val="00EF5B35"/>
    <w:rsid w:val="00EF5B7E"/>
    <w:rsid w:val="00EF6052"/>
    <w:rsid w:val="00EF61B5"/>
    <w:rsid w:val="00EF620D"/>
    <w:rsid w:val="00EF6532"/>
    <w:rsid w:val="00EF6886"/>
    <w:rsid w:val="00EF6D8A"/>
    <w:rsid w:val="00EF70BB"/>
    <w:rsid w:val="00EF73D2"/>
    <w:rsid w:val="00EF770C"/>
    <w:rsid w:val="00EF776C"/>
    <w:rsid w:val="00EF7836"/>
    <w:rsid w:val="00EF7C80"/>
    <w:rsid w:val="00EF7DC5"/>
    <w:rsid w:val="00F00198"/>
    <w:rsid w:val="00F001F1"/>
    <w:rsid w:val="00F003C5"/>
    <w:rsid w:val="00F006B0"/>
    <w:rsid w:val="00F006E3"/>
    <w:rsid w:val="00F008A6"/>
    <w:rsid w:val="00F00B56"/>
    <w:rsid w:val="00F00CDF"/>
    <w:rsid w:val="00F00E4E"/>
    <w:rsid w:val="00F00FCD"/>
    <w:rsid w:val="00F01011"/>
    <w:rsid w:val="00F01160"/>
    <w:rsid w:val="00F01169"/>
    <w:rsid w:val="00F01291"/>
    <w:rsid w:val="00F01330"/>
    <w:rsid w:val="00F0145E"/>
    <w:rsid w:val="00F017D6"/>
    <w:rsid w:val="00F01899"/>
    <w:rsid w:val="00F018EF"/>
    <w:rsid w:val="00F019D6"/>
    <w:rsid w:val="00F019DD"/>
    <w:rsid w:val="00F01A8F"/>
    <w:rsid w:val="00F01BEB"/>
    <w:rsid w:val="00F01CCA"/>
    <w:rsid w:val="00F01CFB"/>
    <w:rsid w:val="00F01E5F"/>
    <w:rsid w:val="00F0201F"/>
    <w:rsid w:val="00F020A3"/>
    <w:rsid w:val="00F0260C"/>
    <w:rsid w:val="00F02717"/>
    <w:rsid w:val="00F027CD"/>
    <w:rsid w:val="00F02C07"/>
    <w:rsid w:val="00F02CE1"/>
    <w:rsid w:val="00F02E13"/>
    <w:rsid w:val="00F02FC8"/>
    <w:rsid w:val="00F02FE2"/>
    <w:rsid w:val="00F033EB"/>
    <w:rsid w:val="00F03561"/>
    <w:rsid w:val="00F037AF"/>
    <w:rsid w:val="00F03815"/>
    <w:rsid w:val="00F03953"/>
    <w:rsid w:val="00F03AA5"/>
    <w:rsid w:val="00F03AC9"/>
    <w:rsid w:val="00F03C24"/>
    <w:rsid w:val="00F03EEE"/>
    <w:rsid w:val="00F0404D"/>
    <w:rsid w:val="00F04121"/>
    <w:rsid w:val="00F04234"/>
    <w:rsid w:val="00F04399"/>
    <w:rsid w:val="00F044E7"/>
    <w:rsid w:val="00F04980"/>
    <w:rsid w:val="00F04BB8"/>
    <w:rsid w:val="00F04E86"/>
    <w:rsid w:val="00F051D8"/>
    <w:rsid w:val="00F05228"/>
    <w:rsid w:val="00F053FC"/>
    <w:rsid w:val="00F054DB"/>
    <w:rsid w:val="00F05697"/>
    <w:rsid w:val="00F05AB8"/>
    <w:rsid w:val="00F05C16"/>
    <w:rsid w:val="00F05CFF"/>
    <w:rsid w:val="00F05FB0"/>
    <w:rsid w:val="00F0608C"/>
    <w:rsid w:val="00F06184"/>
    <w:rsid w:val="00F0629E"/>
    <w:rsid w:val="00F063D7"/>
    <w:rsid w:val="00F064DC"/>
    <w:rsid w:val="00F06514"/>
    <w:rsid w:val="00F065B1"/>
    <w:rsid w:val="00F0692E"/>
    <w:rsid w:val="00F06B29"/>
    <w:rsid w:val="00F06D31"/>
    <w:rsid w:val="00F06D60"/>
    <w:rsid w:val="00F071AE"/>
    <w:rsid w:val="00F073BE"/>
    <w:rsid w:val="00F074B2"/>
    <w:rsid w:val="00F076CB"/>
    <w:rsid w:val="00F076E3"/>
    <w:rsid w:val="00F077C9"/>
    <w:rsid w:val="00F07DBA"/>
    <w:rsid w:val="00F10221"/>
    <w:rsid w:val="00F10712"/>
    <w:rsid w:val="00F10A61"/>
    <w:rsid w:val="00F10DA5"/>
    <w:rsid w:val="00F110D5"/>
    <w:rsid w:val="00F1121A"/>
    <w:rsid w:val="00F11314"/>
    <w:rsid w:val="00F11516"/>
    <w:rsid w:val="00F11AFD"/>
    <w:rsid w:val="00F11C22"/>
    <w:rsid w:val="00F11CBB"/>
    <w:rsid w:val="00F11E2D"/>
    <w:rsid w:val="00F11F4A"/>
    <w:rsid w:val="00F11F56"/>
    <w:rsid w:val="00F122D9"/>
    <w:rsid w:val="00F12499"/>
    <w:rsid w:val="00F127AC"/>
    <w:rsid w:val="00F12BF8"/>
    <w:rsid w:val="00F12C30"/>
    <w:rsid w:val="00F12F79"/>
    <w:rsid w:val="00F130D7"/>
    <w:rsid w:val="00F133FB"/>
    <w:rsid w:val="00F1349E"/>
    <w:rsid w:val="00F13546"/>
    <w:rsid w:val="00F1369C"/>
    <w:rsid w:val="00F138A6"/>
    <w:rsid w:val="00F13971"/>
    <w:rsid w:val="00F139A4"/>
    <w:rsid w:val="00F13B00"/>
    <w:rsid w:val="00F13B44"/>
    <w:rsid w:val="00F13BB8"/>
    <w:rsid w:val="00F13F92"/>
    <w:rsid w:val="00F1414D"/>
    <w:rsid w:val="00F1427E"/>
    <w:rsid w:val="00F14297"/>
    <w:rsid w:val="00F143F3"/>
    <w:rsid w:val="00F14525"/>
    <w:rsid w:val="00F14744"/>
    <w:rsid w:val="00F148E5"/>
    <w:rsid w:val="00F1491B"/>
    <w:rsid w:val="00F1493B"/>
    <w:rsid w:val="00F14C04"/>
    <w:rsid w:val="00F14D00"/>
    <w:rsid w:val="00F14ECC"/>
    <w:rsid w:val="00F14EE4"/>
    <w:rsid w:val="00F14FB5"/>
    <w:rsid w:val="00F1511A"/>
    <w:rsid w:val="00F151C6"/>
    <w:rsid w:val="00F151FD"/>
    <w:rsid w:val="00F15379"/>
    <w:rsid w:val="00F15543"/>
    <w:rsid w:val="00F1563F"/>
    <w:rsid w:val="00F157F6"/>
    <w:rsid w:val="00F158F8"/>
    <w:rsid w:val="00F15A83"/>
    <w:rsid w:val="00F15D6A"/>
    <w:rsid w:val="00F1620B"/>
    <w:rsid w:val="00F165AA"/>
    <w:rsid w:val="00F1664E"/>
    <w:rsid w:val="00F167E3"/>
    <w:rsid w:val="00F16ABD"/>
    <w:rsid w:val="00F16C96"/>
    <w:rsid w:val="00F16CE7"/>
    <w:rsid w:val="00F16DB5"/>
    <w:rsid w:val="00F16E58"/>
    <w:rsid w:val="00F170F0"/>
    <w:rsid w:val="00F17231"/>
    <w:rsid w:val="00F17270"/>
    <w:rsid w:val="00F1738D"/>
    <w:rsid w:val="00F17570"/>
    <w:rsid w:val="00F17794"/>
    <w:rsid w:val="00F1785C"/>
    <w:rsid w:val="00F17A62"/>
    <w:rsid w:val="00F17A87"/>
    <w:rsid w:val="00F17B40"/>
    <w:rsid w:val="00F17BB9"/>
    <w:rsid w:val="00F17FAF"/>
    <w:rsid w:val="00F17FBF"/>
    <w:rsid w:val="00F201C0"/>
    <w:rsid w:val="00F206F6"/>
    <w:rsid w:val="00F20735"/>
    <w:rsid w:val="00F207BB"/>
    <w:rsid w:val="00F209B7"/>
    <w:rsid w:val="00F20B41"/>
    <w:rsid w:val="00F20B6D"/>
    <w:rsid w:val="00F20D28"/>
    <w:rsid w:val="00F20FE2"/>
    <w:rsid w:val="00F21105"/>
    <w:rsid w:val="00F21733"/>
    <w:rsid w:val="00F21788"/>
    <w:rsid w:val="00F218A8"/>
    <w:rsid w:val="00F21AB8"/>
    <w:rsid w:val="00F21F63"/>
    <w:rsid w:val="00F21F93"/>
    <w:rsid w:val="00F221C0"/>
    <w:rsid w:val="00F223CD"/>
    <w:rsid w:val="00F22532"/>
    <w:rsid w:val="00F2278C"/>
    <w:rsid w:val="00F2280A"/>
    <w:rsid w:val="00F22A1D"/>
    <w:rsid w:val="00F22CB2"/>
    <w:rsid w:val="00F22DCB"/>
    <w:rsid w:val="00F2322F"/>
    <w:rsid w:val="00F23414"/>
    <w:rsid w:val="00F234DE"/>
    <w:rsid w:val="00F23783"/>
    <w:rsid w:val="00F23A96"/>
    <w:rsid w:val="00F23B0B"/>
    <w:rsid w:val="00F23D09"/>
    <w:rsid w:val="00F23E0F"/>
    <w:rsid w:val="00F24220"/>
    <w:rsid w:val="00F2435E"/>
    <w:rsid w:val="00F24375"/>
    <w:rsid w:val="00F243E5"/>
    <w:rsid w:val="00F24543"/>
    <w:rsid w:val="00F2470D"/>
    <w:rsid w:val="00F2477B"/>
    <w:rsid w:val="00F24834"/>
    <w:rsid w:val="00F2483E"/>
    <w:rsid w:val="00F24954"/>
    <w:rsid w:val="00F24EA5"/>
    <w:rsid w:val="00F24EC4"/>
    <w:rsid w:val="00F24F34"/>
    <w:rsid w:val="00F250EB"/>
    <w:rsid w:val="00F2510E"/>
    <w:rsid w:val="00F2565A"/>
    <w:rsid w:val="00F25728"/>
    <w:rsid w:val="00F25A44"/>
    <w:rsid w:val="00F25D13"/>
    <w:rsid w:val="00F25EC6"/>
    <w:rsid w:val="00F25F23"/>
    <w:rsid w:val="00F25FCE"/>
    <w:rsid w:val="00F26968"/>
    <w:rsid w:val="00F26A8C"/>
    <w:rsid w:val="00F26AE4"/>
    <w:rsid w:val="00F26D51"/>
    <w:rsid w:val="00F27107"/>
    <w:rsid w:val="00F2711A"/>
    <w:rsid w:val="00F272B5"/>
    <w:rsid w:val="00F274E6"/>
    <w:rsid w:val="00F275A5"/>
    <w:rsid w:val="00F27B3F"/>
    <w:rsid w:val="00F27EB3"/>
    <w:rsid w:val="00F27FAC"/>
    <w:rsid w:val="00F300CA"/>
    <w:rsid w:val="00F300E0"/>
    <w:rsid w:val="00F304AD"/>
    <w:rsid w:val="00F304D5"/>
    <w:rsid w:val="00F30661"/>
    <w:rsid w:val="00F30690"/>
    <w:rsid w:val="00F30932"/>
    <w:rsid w:val="00F30C63"/>
    <w:rsid w:val="00F30E8E"/>
    <w:rsid w:val="00F3103B"/>
    <w:rsid w:val="00F312AA"/>
    <w:rsid w:val="00F312D5"/>
    <w:rsid w:val="00F317C1"/>
    <w:rsid w:val="00F3191B"/>
    <w:rsid w:val="00F31BBB"/>
    <w:rsid w:val="00F31CCB"/>
    <w:rsid w:val="00F31E55"/>
    <w:rsid w:val="00F320D3"/>
    <w:rsid w:val="00F323AB"/>
    <w:rsid w:val="00F3245A"/>
    <w:rsid w:val="00F32620"/>
    <w:rsid w:val="00F32645"/>
    <w:rsid w:val="00F327CB"/>
    <w:rsid w:val="00F32815"/>
    <w:rsid w:val="00F32A2A"/>
    <w:rsid w:val="00F32AA1"/>
    <w:rsid w:val="00F32B4E"/>
    <w:rsid w:val="00F32C67"/>
    <w:rsid w:val="00F32C9D"/>
    <w:rsid w:val="00F330AF"/>
    <w:rsid w:val="00F331AA"/>
    <w:rsid w:val="00F3328D"/>
    <w:rsid w:val="00F33358"/>
    <w:rsid w:val="00F3399D"/>
    <w:rsid w:val="00F339B3"/>
    <w:rsid w:val="00F33C0E"/>
    <w:rsid w:val="00F33CD5"/>
    <w:rsid w:val="00F33D8C"/>
    <w:rsid w:val="00F33F39"/>
    <w:rsid w:val="00F33FB5"/>
    <w:rsid w:val="00F346FC"/>
    <w:rsid w:val="00F34B3D"/>
    <w:rsid w:val="00F34B40"/>
    <w:rsid w:val="00F34C2E"/>
    <w:rsid w:val="00F34C64"/>
    <w:rsid w:val="00F34E65"/>
    <w:rsid w:val="00F35035"/>
    <w:rsid w:val="00F351CB"/>
    <w:rsid w:val="00F35276"/>
    <w:rsid w:val="00F352B4"/>
    <w:rsid w:val="00F352F2"/>
    <w:rsid w:val="00F3541B"/>
    <w:rsid w:val="00F357C3"/>
    <w:rsid w:val="00F357F6"/>
    <w:rsid w:val="00F358AC"/>
    <w:rsid w:val="00F35910"/>
    <w:rsid w:val="00F35AD7"/>
    <w:rsid w:val="00F35F0B"/>
    <w:rsid w:val="00F35F2B"/>
    <w:rsid w:val="00F3650A"/>
    <w:rsid w:val="00F3664E"/>
    <w:rsid w:val="00F36695"/>
    <w:rsid w:val="00F367B4"/>
    <w:rsid w:val="00F368BD"/>
    <w:rsid w:val="00F36948"/>
    <w:rsid w:val="00F36A7E"/>
    <w:rsid w:val="00F36C75"/>
    <w:rsid w:val="00F36DEB"/>
    <w:rsid w:val="00F36F2F"/>
    <w:rsid w:val="00F372FB"/>
    <w:rsid w:val="00F37871"/>
    <w:rsid w:val="00F37B18"/>
    <w:rsid w:val="00F40149"/>
    <w:rsid w:val="00F407A1"/>
    <w:rsid w:val="00F40856"/>
    <w:rsid w:val="00F40AA4"/>
    <w:rsid w:val="00F40DF4"/>
    <w:rsid w:val="00F40FC7"/>
    <w:rsid w:val="00F413E5"/>
    <w:rsid w:val="00F41541"/>
    <w:rsid w:val="00F4166C"/>
    <w:rsid w:val="00F416F0"/>
    <w:rsid w:val="00F41789"/>
    <w:rsid w:val="00F41952"/>
    <w:rsid w:val="00F41A14"/>
    <w:rsid w:val="00F41A99"/>
    <w:rsid w:val="00F41CAA"/>
    <w:rsid w:val="00F41D62"/>
    <w:rsid w:val="00F41E3C"/>
    <w:rsid w:val="00F41EF3"/>
    <w:rsid w:val="00F41F01"/>
    <w:rsid w:val="00F41F53"/>
    <w:rsid w:val="00F41FF1"/>
    <w:rsid w:val="00F4250D"/>
    <w:rsid w:val="00F42710"/>
    <w:rsid w:val="00F427BF"/>
    <w:rsid w:val="00F42A4C"/>
    <w:rsid w:val="00F43061"/>
    <w:rsid w:val="00F4349A"/>
    <w:rsid w:val="00F4351B"/>
    <w:rsid w:val="00F43620"/>
    <w:rsid w:val="00F4362C"/>
    <w:rsid w:val="00F43661"/>
    <w:rsid w:val="00F43666"/>
    <w:rsid w:val="00F43677"/>
    <w:rsid w:val="00F436A9"/>
    <w:rsid w:val="00F436EE"/>
    <w:rsid w:val="00F4379D"/>
    <w:rsid w:val="00F43801"/>
    <w:rsid w:val="00F43B02"/>
    <w:rsid w:val="00F43C10"/>
    <w:rsid w:val="00F43CDE"/>
    <w:rsid w:val="00F43D0F"/>
    <w:rsid w:val="00F43D49"/>
    <w:rsid w:val="00F43F30"/>
    <w:rsid w:val="00F440CA"/>
    <w:rsid w:val="00F44172"/>
    <w:rsid w:val="00F443BC"/>
    <w:rsid w:val="00F44860"/>
    <w:rsid w:val="00F44C3F"/>
    <w:rsid w:val="00F44D3E"/>
    <w:rsid w:val="00F44DC2"/>
    <w:rsid w:val="00F44E43"/>
    <w:rsid w:val="00F44EB6"/>
    <w:rsid w:val="00F44EFF"/>
    <w:rsid w:val="00F45017"/>
    <w:rsid w:val="00F450FB"/>
    <w:rsid w:val="00F45160"/>
    <w:rsid w:val="00F45831"/>
    <w:rsid w:val="00F45DE7"/>
    <w:rsid w:val="00F45F61"/>
    <w:rsid w:val="00F46254"/>
    <w:rsid w:val="00F46274"/>
    <w:rsid w:val="00F4634F"/>
    <w:rsid w:val="00F4661B"/>
    <w:rsid w:val="00F466EF"/>
    <w:rsid w:val="00F4683D"/>
    <w:rsid w:val="00F46986"/>
    <w:rsid w:val="00F46A58"/>
    <w:rsid w:val="00F46B58"/>
    <w:rsid w:val="00F46C34"/>
    <w:rsid w:val="00F46DFD"/>
    <w:rsid w:val="00F46F90"/>
    <w:rsid w:val="00F473A2"/>
    <w:rsid w:val="00F47614"/>
    <w:rsid w:val="00F47661"/>
    <w:rsid w:val="00F476BA"/>
    <w:rsid w:val="00F478B0"/>
    <w:rsid w:val="00F47924"/>
    <w:rsid w:val="00F479B1"/>
    <w:rsid w:val="00F47B99"/>
    <w:rsid w:val="00F47BA0"/>
    <w:rsid w:val="00F47BC3"/>
    <w:rsid w:val="00F47D1E"/>
    <w:rsid w:val="00F47EA9"/>
    <w:rsid w:val="00F50021"/>
    <w:rsid w:val="00F50026"/>
    <w:rsid w:val="00F506C5"/>
    <w:rsid w:val="00F50A39"/>
    <w:rsid w:val="00F50B56"/>
    <w:rsid w:val="00F50F0E"/>
    <w:rsid w:val="00F50FD2"/>
    <w:rsid w:val="00F511FE"/>
    <w:rsid w:val="00F512A4"/>
    <w:rsid w:val="00F51309"/>
    <w:rsid w:val="00F51314"/>
    <w:rsid w:val="00F51440"/>
    <w:rsid w:val="00F51444"/>
    <w:rsid w:val="00F514BD"/>
    <w:rsid w:val="00F5153D"/>
    <w:rsid w:val="00F5168D"/>
    <w:rsid w:val="00F5172C"/>
    <w:rsid w:val="00F51B12"/>
    <w:rsid w:val="00F51C6E"/>
    <w:rsid w:val="00F51D2C"/>
    <w:rsid w:val="00F52136"/>
    <w:rsid w:val="00F521DC"/>
    <w:rsid w:val="00F528B7"/>
    <w:rsid w:val="00F5292E"/>
    <w:rsid w:val="00F52AFB"/>
    <w:rsid w:val="00F52BD1"/>
    <w:rsid w:val="00F52C96"/>
    <w:rsid w:val="00F52D1F"/>
    <w:rsid w:val="00F52DED"/>
    <w:rsid w:val="00F531A2"/>
    <w:rsid w:val="00F5350A"/>
    <w:rsid w:val="00F53540"/>
    <w:rsid w:val="00F5377A"/>
    <w:rsid w:val="00F538A2"/>
    <w:rsid w:val="00F53A6C"/>
    <w:rsid w:val="00F53A91"/>
    <w:rsid w:val="00F53D77"/>
    <w:rsid w:val="00F540E1"/>
    <w:rsid w:val="00F5414C"/>
    <w:rsid w:val="00F5469B"/>
    <w:rsid w:val="00F546CB"/>
    <w:rsid w:val="00F5470C"/>
    <w:rsid w:val="00F54798"/>
    <w:rsid w:val="00F547E3"/>
    <w:rsid w:val="00F54A55"/>
    <w:rsid w:val="00F54BAC"/>
    <w:rsid w:val="00F54BC9"/>
    <w:rsid w:val="00F54D66"/>
    <w:rsid w:val="00F54E62"/>
    <w:rsid w:val="00F54F61"/>
    <w:rsid w:val="00F54F6A"/>
    <w:rsid w:val="00F54FFD"/>
    <w:rsid w:val="00F55303"/>
    <w:rsid w:val="00F55346"/>
    <w:rsid w:val="00F553C6"/>
    <w:rsid w:val="00F554C7"/>
    <w:rsid w:val="00F55A81"/>
    <w:rsid w:val="00F55EB4"/>
    <w:rsid w:val="00F55EC7"/>
    <w:rsid w:val="00F560A4"/>
    <w:rsid w:val="00F5615E"/>
    <w:rsid w:val="00F56412"/>
    <w:rsid w:val="00F56649"/>
    <w:rsid w:val="00F56650"/>
    <w:rsid w:val="00F56848"/>
    <w:rsid w:val="00F56893"/>
    <w:rsid w:val="00F568E5"/>
    <w:rsid w:val="00F56B6B"/>
    <w:rsid w:val="00F56DC2"/>
    <w:rsid w:val="00F56FB8"/>
    <w:rsid w:val="00F56FEF"/>
    <w:rsid w:val="00F5715F"/>
    <w:rsid w:val="00F57328"/>
    <w:rsid w:val="00F57425"/>
    <w:rsid w:val="00F574BB"/>
    <w:rsid w:val="00F57715"/>
    <w:rsid w:val="00F5784D"/>
    <w:rsid w:val="00F57873"/>
    <w:rsid w:val="00F5796C"/>
    <w:rsid w:val="00F57AB9"/>
    <w:rsid w:val="00F57D40"/>
    <w:rsid w:val="00F57DE4"/>
    <w:rsid w:val="00F57E3E"/>
    <w:rsid w:val="00F604D6"/>
    <w:rsid w:val="00F604F6"/>
    <w:rsid w:val="00F608E8"/>
    <w:rsid w:val="00F60C97"/>
    <w:rsid w:val="00F60D0D"/>
    <w:rsid w:val="00F60D34"/>
    <w:rsid w:val="00F60D85"/>
    <w:rsid w:val="00F610A1"/>
    <w:rsid w:val="00F61183"/>
    <w:rsid w:val="00F611C9"/>
    <w:rsid w:val="00F614FA"/>
    <w:rsid w:val="00F61531"/>
    <w:rsid w:val="00F6168E"/>
    <w:rsid w:val="00F617ED"/>
    <w:rsid w:val="00F61B5C"/>
    <w:rsid w:val="00F61CFC"/>
    <w:rsid w:val="00F61DB0"/>
    <w:rsid w:val="00F61E4B"/>
    <w:rsid w:val="00F61EA0"/>
    <w:rsid w:val="00F61FCB"/>
    <w:rsid w:val="00F62072"/>
    <w:rsid w:val="00F62093"/>
    <w:rsid w:val="00F620B9"/>
    <w:rsid w:val="00F62111"/>
    <w:rsid w:val="00F62331"/>
    <w:rsid w:val="00F62366"/>
    <w:rsid w:val="00F6243D"/>
    <w:rsid w:val="00F6282D"/>
    <w:rsid w:val="00F62F66"/>
    <w:rsid w:val="00F632BF"/>
    <w:rsid w:val="00F634FA"/>
    <w:rsid w:val="00F63636"/>
    <w:rsid w:val="00F636BF"/>
    <w:rsid w:val="00F63763"/>
    <w:rsid w:val="00F63899"/>
    <w:rsid w:val="00F63A4C"/>
    <w:rsid w:val="00F63CAD"/>
    <w:rsid w:val="00F63EAD"/>
    <w:rsid w:val="00F63F7E"/>
    <w:rsid w:val="00F642F1"/>
    <w:rsid w:val="00F642F4"/>
    <w:rsid w:val="00F64356"/>
    <w:rsid w:val="00F645C9"/>
    <w:rsid w:val="00F647C9"/>
    <w:rsid w:val="00F64806"/>
    <w:rsid w:val="00F64A32"/>
    <w:rsid w:val="00F64F75"/>
    <w:rsid w:val="00F65116"/>
    <w:rsid w:val="00F65477"/>
    <w:rsid w:val="00F655B4"/>
    <w:rsid w:val="00F655CB"/>
    <w:rsid w:val="00F6561C"/>
    <w:rsid w:val="00F65937"/>
    <w:rsid w:val="00F65957"/>
    <w:rsid w:val="00F65ACC"/>
    <w:rsid w:val="00F65B07"/>
    <w:rsid w:val="00F65B71"/>
    <w:rsid w:val="00F66289"/>
    <w:rsid w:val="00F66678"/>
    <w:rsid w:val="00F66772"/>
    <w:rsid w:val="00F668EF"/>
    <w:rsid w:val="00F66909"/>
    <w:rsid w:val="00F66989"/>
    <w:rsid w:val="00F6704A"/>
    <w:rsid w:val="00F6713F"/>
    <w:rsid w:val="00F67178"/>
    <w:rsid w:val="00F6725D"/>
    <w:rsid w:val="00F67330"/>
    <w:rsid w:val="00F67380"/>
    <w:rsid w:val="00F6738D"/>
    <w:rsid w:val="00F673B7"/>
    <w:rsid w:val="00F6744C"/>
    <w:rsid w:val="00F67791"/>
    <w:rsid w:val="00F6783F"/>
    <w:rsid w:val="00F67933"/>
    <w:rsid w:val="00F6798F"/>
    <w:rsid w:val="00F67B0D"/>
    <w:rsid w:val="00F67CE7"/>
    <w:rsid w:val="00F701A6"/>
    <w:rsid w:val="00F7040C"/>
    <w:rsid w:val="00F7043D"/>
    <w:rsid w:val="00F704A8"/>
    <w:rsid w:val="00F705BF"/>
    <w:rsid w:val="00F7082C"/>
    <w:rsid w:val="00F70BA4"/>
    <w:rsid w:val="00F70CDA"/>
    <w:rsid w:val="00F710E7"/>
    <w:rsid w:val="00F7163A"/>
    <w:rsid w:val="00F7165F"/>
    <w:rsid w:val="00F7167C"/>
    <w:rsid w:val="00F716A0"/>
    <w:rsid w:val="00F71833"/>
    <w:rsid w:val="00F71949"/>
    <w:rsid w:val="00F71991"/>
    <w:rsid w:val="00F71B5B"/>
    <w:rsid w:val="00F71C9E"/>
    <w:rsid w:val="00F71E46"/>
    <w:rsid w:val="00F71FF3"/>
    <w:rsid w:val="00F7218A"/>
    <w:rsid w:val="00F722E0"/>
    <w:rsid w:val="00F72955"/>
    <w:rsid w:val="00F72C64"/>
    <w:rsid w:val="00F72C6F"/>
    <w:rsid w:val="00F72DAA"/>
    <w:rsid w:val="00F7314D"/>
    <w:rsid w:val="00F7329C"/>
    <w:rsid w:val="00F73571"/>
    <w:rsid w:val="00F7358D"/>
    <w:rsid w:val="00F73963"/>
    <w:rsid w:val="00F73A81"/>
    <w:rsid w:val="00F73A87"/>
    <w:rsid w:val="00F73C19"/>
    <w:rsid w:val="00F73CBD"/>
    <w:rsid w:val="00F73E0D"/>
    <w:rsid w:val="00F7410A"/>
    <w:rsid w:val="00F74707"/>
    <w:rsid w:val="00F74A34"/>
    <w:rsid w:val="00F74CB9"/>
    <w:rsid w:val="00F74CC5"/>
    <w:rsid w:val="00F74D68"/>
    <w:rsid w:val="00F74ED2"/>
    <w:rsid w:val="00F74FE3"/>
    <w:rsid w:val="00F7510F"/>
    <w:rsid w:val="00F755BB"/>
    <w:rsid w:val="00F756AB"/>
    <w:rsid w:val="00F756CE"/>
    <w:rsid w:val="00F75920"/>
    <w:rsid w:val="00F759D0"/>
    <w:rsid w:val="00F75A6E"/>
    <w:rsid w:val="00F75C85"/>
    <w:rsid w:val="00F75D2C"/>
    <w:rsid w:val="00F75D8B"/>
    <w:rsid w:val="00F75EF9"/>
    <w:rsid w:val="00F75F1B"/>
    <w:rsid w:val="00F76439"/>
    <w:rsid w:val="00F764BC"/>
    <w:rsid w:val="00F76551"/>
    <w:rsid w:val="00F7681C"/>
    <w:rsid w:val="00F76874"/>
    <w:rsid w:val="00F76A3E"/>
    <w:rsid w:val="00F76AEE"/>
    <w:rsid w:val="00F76BCC"/>
    <w:rsid w:val="00F76F38"/>
    <w:rsid w:val="00F76FE9"/>
    <w:rsid w:val="00F77036"/>
    <w:rsid w:val="00F77081"/>
    <w:rsid w:val="00F772CF"/>
    <w:rsid w:val="00F77775"/>
    <w:rsid w:val="00F777F6"/>
    <w:rsid w:val="00F77829"/>
    <w:rsid w:val="00F77832"/>
    <w:rsid w:val="00F77A0E"/>
    <w:rsid w:val="00F77A77"/>
    <w:rsid w:val="00F77EB7"/>
    <w:rsid w:val="00F77EED"/>
    <w:rsid w:val="00F77EF9"/>
    <w:rsid w:val="00F77F0A"/>
    <w:rsid w:val="00F801CA"/>
    <w:rsid w:val="00F802D5"/>
    <w:rsid w:val="00F802DA"/>
    <w:rsid w:val="00F80338"/>
    <w:rsid w:val="00F8045F"/>
    <w:rsid w:val="00F808CF"/>
    <w:rsid w:val="00F80A4D"/>
    <w:rsid w:val="00F80AE8"/>
    <w:rsid w:val="00F80CD4"/>
    <w:rsid w:val="00F80CE1"/>
    <w:rsid w:val="00F80D79"/>
    <w:rsid w:val="00F80E2C"/>
    <w:rsid w:val="00F81018"/>
    <w:rsid w:val="00F810D4"/>
    <w:rsid w:val="00F810DC"/>
    <w:rsid w:val="00F8121B"/>
    <w:rsid w:val="00F812F1"/>
    <w:rsid w:val="00F81348"/>
    <w:rsid w:val="00F815F4"/>
    <w:rsid w:val="00F815FD"/>
    <w:rsid w:val="00F81AE6"/>
    <w:rsid w:val="00F81B89"/>
    <w:rsid w:val="00F81E7D"/>
    <w:rsid w:val="00F82151"/>
    <w:rsid w:val="00F82308"/>
    <w:rsid w:val="00F823F3"/>
    <w:rsid w:val="00F824B0"/>
    <w:rsid w:val="00F82EDB"/>
    <w:rsid w:val="00F831EE"/>
    <w:rsid w:val="00F83358"/>
    <w:rsid w:val="00F8337B"/>
    <w:rsid w:val="00F833DE"/>
    <w:rsid w:val="00F83566"/>
    <w:rsid w:val="00F835AF"/>
    <w:rsid w:val="00F835EA"/>
    <w:rsid w:val="00F8360B"/>
    <w:rsid w:val="00F83C06"/>
    <w:rsid w:val="00F83C11"/>
    <w:rsid w:val="00F83CFE"/>
    <w:rsid w:val="00F83EBE"/>
    <w:rsid w:val="00F8403A"/>
    <w:rsid w:val="00F8405C"/>
    <w:rsid w:val="00F84276"/>
    <w:rsid w:val="00F84324"/>
    <w:rsid w:val="00F844BC"/>
    <w:rsid w:val="00F84627"/>
    <w:rsid w:val="00F846A9"/>
    <w:rsid w:val="00F8476E"/>
    <w:rsid w:val="00F84810"/>
    <w:rsid w:val="00F8482E"/>
    <w:rsid w:val="00F84845"/>
    <w:rsid w:val="00F84A37"/>
    <w:rsid w:val="00F84B09"/>
    <w:rsid w:val="00F84E92"/>
    <w:rsid w:val="00F851CA"/>
    <w:rsid w:val="00F852E3"/>
    <w:rsid w:val="00F8536B"/>
    <w:rsid w:val="00F8538E"/>
    <w:rsid w:val="00F85636"/>
    <w:rsid w:val="00F8572C"/>
    <w:rsid w:val="00F857E1"/>
    <w:rsid w:val="00F8595F"/>
    <w:rsid w:val="00F85D2B"/>
    <w:rsid w:val="00F86001"/>
    <w:rsid w:val="00F862A3"/>
    <w:rsid w:val="00F86422"/>
    <w:rsid w:val="00F86541"/>
    <w:rsid w:val="00F86612"/>
    <w:rsid w:val="00F866A3"/>
    <w:rsid w:val="00F869F3"/>
    <w:rsid w:val="00F86A0F"/>
    <w:rsid w:val="00F86A14"/>
    <w:rsid w:val="00F86ADB"/>
    <w:rsid w:val="00F86B37"/>
    <w:rsid w:val="00F86C6B"/>
    <w:rsid w:val="00F86E3E"/>
    <w:rsid w:val="00F8715F"/>
    <w:rsid w:val="00F8718F"/>
    <w:rsid w:val="00F8745C"/>
    <w:rsid w:val="00F8775D"/>
    <w:rsid w:val="00F878FD"/>
    <w:rsid w:val="00F87A9E"/>
    <w:rsid w:val="00F90234"/>
    <w:rsid w:val="00F9027F"/>
    <w:rsid w:val="00F906D3"/>
    <w:rsid w:val="00F907D2"/>
    <w:rsid w:val="00F908C5"/>
    <w:rsid w:val="00F90909"/>
    <w:rsid w:val="00F90A69"/>
    <w:rsid w:val="00F90A79"/>
    <w:rsid w:val="00F90A8B"/>
    <w:rsid w:val="00F9107A"/>
    <w:rsid w:val="00F911B0"/>
    <w:rsid w:val="00F9123B"/>
    <w:rsid w:val="00F91291"/>
    <w:rsid w:val="00F914E9"/>
    <w:rsid w:val="00F916F0"/>
    <w:rsid w:val="00F91D84"/>
    <w:rsid w:val="00F91FAB"/>
    <w:rsid w:val="00F91FC3"/>
    <w:rsid w:val="00F92162"/>
    <w:rsid w:val="00F92484"/>
    <w:rsid w:val="00F9249A"/>
    <w:rsid w:val="00F924D4"/>
    <w:rsid w:val="00F92686"/>
    <w:rsid w:val="00F92775"/>
    <w:rsid w:val="00F92794"/>
    <w:rsid w:val="00F92C1C"/>
    <w:rsid w:val="00F92DFD"/>
    <w:rsid w:val="00F92EB8"/>
    <w:rsid w:val="00F9330D"/>
    <w:rsid w:val="00F93353"/>
    <w:rsid w:val="00F933F8"/>
    <w:rsid w:val="00F934E3"/>
    <w:rsid w:val="00F9359D"/>
    <w:rsid w:val="00F937DA"/>
    <w:rsid w:val="00F938A3"/>
    <w:rsid w:val="00F9392B"/>
    <w:rsid w:val="00F93A42"/>
    <w:rsid w:val="00F93C1B"/>
    <w:rsid w:val="00F94031"/>
    <w:rsid w:val="00F9408A"/>
    <w:rsid w:val="00F94343"/>
    <w:rsid w:val="00F94370"/>
    <w:rsid w:val="00F94521"/>
    <w:rsid w:val="00F945C6"/>
    <w:rsid w:val="00F947DA"/>
    <w:rsid w:val="00F947EF"/>
    <w:rsid w:val="00F94874"/>
    <w:rsid w:val="00F94A03"/>
    <w:rsid w:val="00F94A87"/>
    <w:rsid w:val="00F94C8F"/>
    <w:rsid w:val="00F95128"/>
    <w:rsid w:val="00F9517F"/>
    <w:rsid w:val="00F952EC"/>
    <w:rsid w:val="00F95372"/>
    <w:rsid w:val="00F95428"/>
    <w:rsid w:val="00F95466"/>
    <w:rsid w:val="00F9558F"/>
    <w:rsid w:val="00F959D5"/>
    <w:rsid w:val="00F95C7C"/>
    <w:rsid w:val="00F95E0E"/>
    <w:rsid w:val="00F95F84"/>
    <w:rsid w:val="00F96184"/>
    <w:rsid w:val="00F963DC"/>
    <w:rsid w:val="00F9649F"/>
    <w:rsid w:val="00F964D0"/>
    <w:rsid w:val="00F96547"/>
    <w:rsid w:val="00F96561"/>
    <w:rsid w:val="00F966E7"/>
    <w:rsid w:val="00F96D36"/>
    <w:rsid w:val="00F96E57"/>
    <w:rsid w:val="00F9716D"/>
    <w:rsid w:val="00F9732A"/>
    <w:rsid w:val="00F97546"/>
    <w:rsid w:val="00F97602"/>
    <w:rsid w:val="00F97608"/>
    <w:rsid w:val="00F97B5A"/>
    <w:rsid w:val="00F97D29"/>
    <w:rsid w:val="00F97F59"/>
    <w:rsid w:val="00F97F7C"/>
    <w:rsid w:val="00F97FAA"/>
    <w:rsid w:val="00FA0176"/>
    <w:rsid w:val="00FA029A"/>
    <w:rsid w:val="00FA02D0"/>
    <w:rsid w:val="00FA07AF"/>
    <w:rsid w:val="00FA0B02"/>
    <w:rsid w:val="00FA0E62"/>
    <w:rsid w:val="00FA0FBA"/>
    <w:rsid w:val="00FA1272"/>
    <w:rsid w:val="00FA1290"/>
    <w:rsid w:val="00FA190F"/>
    <w:rsid w:val="00FA196B"/>
    <w:rsid w:val="00FA1A29"/>
    <w:rsid w:val="00FA1A46"/>
    <w:rsid w:val="00FA1BC7"/>
    <w:rsid w:val="00FA1C99"/>
    <w:rsid w:val="00FA1CE3"/>
    <w:rsid w:val="00FA1D80"/>
    <w:rsid w:val="00FA1F2E"/>
    <w:rsid w:val="00FA251C"/>
    <w:rsid w:val="00FA2618"/>
    <w:rsid w:val="00FA28E7"/>
    <w:rsid w:val="00FA2B67"/>
    <w:rsid w:val="00FA2F8F"/>
    <w:rsid w:val="00FA304E"/>
    <w:rsid w:val="00FA3213"/>
    <w:rsid w:val="00FA3301"/>
    <w:rsid w:val="00FA360B"/>
    <w:rsid w:val="00FA36A8"/>
    <w:rsid w:val="00FA3889"/>
    <w:rsid w:val="00FA3B55"/>
    <w:rsid w:val="00FA3D36"/>
    <w:rsid w:val="00FA3FD1"/>
    <w:rsid w:val="00FA444A"/>
    <w:rsid w:val="00FA456B"/>
    <w:rsid w:val="00FA45D2"/>
    <w:rsid w:val="00FA4646"/>
    <w:rsid w:val="00FA4AC2"/>
    <w:rsid w:val="00FA4B63"/>
    <w:rsid w:val="00FA4BB4"/>
    <w:rsid w:val="00FA4C15"/>
    <w:rsid w:val="00FA4DE9"/>
    <w:rsid w:val="00FA50D8"/>
    <w:rsid w:val="00FA53EB"/>
    <w:rsid w:val="00FA55A9"/>
    <w:rsid w:val="00FA57C2"/>
    <w:rsid w:val="00FA5880"/>
    <w:rsid w:val="00FA5AC8"/>
    <w:rsid w:val="00FA5B31"/>
    <w:rsid w:val="00FA5B50"/>
    <w:rsid w:val="00FA5BE3"/>
    <w:rsid w:val="00FA5E2C"/>
    <w:rsid w:val="00FA5F00"/>
    <w:rsid w:val="00FA6338"/>
    <w:rsid w:val="00FA64BA"/>
    <w:rsid w:val="00FA6551"/>
    <w:rsid w:val="00FA666B"/>
    <w:rsid w:val="00FA6886"/>
    <w:rsid w:val="00FA68DA"/>
    <w:rsid w:val="00FA6B49"/>
    <w:rsid w:val="00FA6BA9"/>
    <w:rsid w:val="00FA6C76"/>
    <w:rsid w:val="00FA6E1D"/>
    <w:rsid w:val="00FA6FAB"/>
    <w:rsid w:val="00FA7232"/>
    <w:rsid w:val="00FA72EA"/>
    <w:rsid w:val="00FA72FE"/>
    <w:rsid w:val="00FA7705"/>
    <w:rsid w:val="00FA77A0"/>
    <w:rsid w:val="00FA796D"/>
    <w:rsid w:val="00FA79AC"/>
    <w:rsid w:val="00FA7AFF"/>
    <w:rsid w:val="00FA7C83"/>
    <w:rsid w:val="00FB0196"/>
    <w:rsid w:val="00FB01F0"/>
    <w:rsid w:val="00FB024C"/>
    <w:rsid w:val="00FB028E"/>
    <w:rsid w:val="00FB0461"/>
    <w:rsid w:val="00FB078E"/>
    <w:rsid w:val="00FB07FD"/>
    <w:rsid w:val="00FB0A4C"/>
    <w:rsid w:val="00FB0EFD"/>
    <w:rsid w:val="00FB0FBB"/>
    <w:rsid w:val="00FB1018"/>
    <w:rsid w:val="00FB1092"/>
    <w:rsid w:val="00FB17B7"/>
    <w:rsid w:val="00FB17E5"/>
    <w:rsid w:val="00FB184D"/>
    <w:rsid w:val="00FB1B24"/>
    <w:rsid w:val="00FB1CDA"/>
    <w:rsid w:val="00FB1D95"/>
    <w:rsid w:val="00FB1F77"/>
    <w:rsid w:val="00FB1F7D"/>
    <w:rsid w:val="00FB28B8"/>
    <w:rsid w:val="00FB3024"/>
    <w:rsid w:val="00FB326A"/>
    <w:rsid w:val="00FB32E6"/>
    <w:rsid w:val="00FB33FB"/>
    <w:rsid w:val="00FB3413"/>
    <w:rsid w:val="00FB3427"/>
    <w:rsid w:val="00FB3625"/>
    <w:rsid w:val="00FB37A3"/>
    <w:rsid w:val="00FB37EA"/>
    <w:rsid w:val="00FB3826"/>
    <w:rsid w:val="00FB3D1F"/>
    <w:rsid w:val="00FB3DF2"/>
    <w:rsid w:val="00FB407F"/>
    <w:rsid w:val="00FB467C"/>
    <w:rsid w:val="00FB48D9"/>
    <w:rsid w:val="00FB4945"/>
    <w:rsid w:val="00FB49F1"/>
    <w:rsid w:val="00FB4AAB"/>
    <w:rsid w:val="00FB52CE"/>
    <w:rsid w:val="00FB5331"/>
    <w:rsid w:val="00FB54FB"/>
    <w:rsid w:val="00FB550B"/>
    <w:rsid w:val="00FB5686"/>
    <w:rsid w:val="00FB56F6"/>
    <w:rsid w:val="00FB5866"/>
    <w:rsid w:val="00FB594B"/>
    <w:rsid w:val="00FB5CA5"/>
    <w:rsid w:val="00FB5CAC"/>
    <w:rsid w:val="00FB6047"/>
    <w:rsid w:val="00FB605F"/>
    <w:rsid w:val="00FB60D9"/>
    <w:rsid w:val="00FB65FD"/>
    <w:rsid w:val="00FB6723"/>
    <w:rsid w:val="00FB67BA"/>
    <w:rsid w:val="00FB67E5"/>
    <w:rsid w:val="00FB6A2E"/>
    <w:rsid w:val="00FB6B68"/>
    <w:rsid w:val="00FB6D22"/>
    <w:rsid w:val="00FB6E21"/>
    <w:rsid w:val="00FB6F33"/>
    <w:rsid w:val="00FB7081"/>
    <w:rsid w:val="00FB7374"/>
    <w:rsid w:val="00FB749A"/>
    <w:rsid w:val="00FB77C1"/>
    <w:rsid w:val="00FB794A"/>
    <w:rsid w:val="00FB7A55"/>
    <w:rsid w:val="00FB7A86"/>
    <w:rsid w:val="00FB7AF7"/>
    <w:rsid w:val="00FB7DE4"/>
    <w:rsid w:val="00FB7EF4"/>
    <w:rsid w:val="00FC012D"/>
    <w:rsid w:val="00FC0205"/>
    <w:rsid w:val="00FC033A"/>
    <w:rsid w:val="00FC035C"/>
    <w:rsid w:val="00FC062E"/>
    <w:rsid w:val="00FC0630"/>
    <w:rsid w:val="00FC0950"/>
    <w:rsid w:val="00FC0C8C"/>
    <w:rsid w:val="00FC1212"/>
    <w:rsid w:val="00FC1401"/>
    <w:rsid w:val="00FC17F9"/>
    <w:rsid w:val="00FC1A29"/>
    <w:rsid w:val="00FC1A2C"/>
    <w:rsid w:val="00FC1BB6"/>
    <w:rsid w:val="00FC1C42"/>
    <w:rsid w:val="00FC1C75"/>
    <w:rsid w:val="00FC1EC9"/>
    <w:rsid w:val="00FC1FBC"/>
    <w:rsid w:val="00FC215F"/>
    <w:rsid w:val="00FC2208"/>
    <w:rsid w:val="00FC23BA"/>
    <w:rsid w:val="00FC2532"/>
    <w:rsid w:val="00FC2565"/>
    <w:rsid w:val="00FC26B0"/>
    <w:rsid w:val="00FC28C5"/>
    <w:rsid w:val="00FC29D4"/>
    <w:rsid w:val="00FC2A05"/>
    <w:rsid w:val="00FC2A9C"/>
    <w:rsid w:val="00FC2C6A"/>
    <w:rsid w:val="00FC2ED2"/>
    <w:rsid w:val="00FC2F99"/>
    <w:rsid w:val="00FC3121"/>
    <w:rsid w:val="00FC3278"/>
    <w:rsid w:val="00FC333B"/>
    <w:rsid w:val="00FC33BA"/>
    <w:rsid w:val="00FC3424"/>
    <w:rsid w:val="00FC36C7"/>
    <w:rsid w:val="00FC377B"/>
    <w:rsid w:val="00FC3981"/>
    <w:rsid w:val="00FC3A5F"/>
    <w:rsid w:val="00FC3B72"/>
    <w:rsid w:val="00FC3D34"/>
    <w:rsid w:val="00FC3E0D"/>
    <w:rsid w:val="00FC3EC5"/>
    <w:rsid w:val="00FC3FCD"/>
    <w:rsid w:val="00FC407D"/>
    <w:rsid w:val="00FC417C"/>
    <w:rsid w:val="00FC417E"/>
    <w:rsid w:val="00FC452E"/>
    <w:rsid w:val="00FC46D8"/>
    <w:rsid w:val="00FC4CEB"/>
    <w:rsid w:val="00FC4F00"/>
    <w:rsid w:val="00FC5510"/>
    <w:rsid w:val="00FC568B"/>
    <w:rsid w:val="00FC5751"/>
    <w:rsid w:val="00FC57BC"/>
    <w:rsid w:val="00FC57C9"/>
    <w:rsid w:val="00FC5900"/>
    <w:rsid w:val="00FC5B4F"/>
    <w:rsid w:val="00FC5E47"/>
    <w:rsid w:val="00FC5F74"/>
    <w:rsid w:val="00FC6108"/>
    <w:rsid w:val="00FC65F3"/>
    <w:rsid w:val="00FC6960"/>
    <w:rsid w:val="00FC69E7"/>
    <w:rsid w:val="00FC6C53"/>
    <w:rsid w:val="00FC6FCF"/>
    <w:rsid w:val="00FC7087"/>
    <w:rsid w:val="00FC740A"/>
    <w:rsid w:val="00FC74E1"/>
    <w:rsid w:val="00FC776F"/>
    <w:rsid w:val="00FD0133"/>
    <w:rsid w:val="00FD0196"/>
    <w:rsid w:val="00FD01DD"/>
    <w:rsid w:val="00FD0547"/>
    <w:rsid w:val="00FD0568"/>
    <w:rsid w:val="00FD0744"/>
    <w:rsid w:val="00FD0B31"/>
    <w:rsid w:val="00FD0D03"/>
    <w:rsid w:val="00FD0FC3"/>
    <w:rsid w:val="00FD126D"/>
    <w:rsid w:val="00FD1279"/>
    <w:rsid w:val="00FD1374"/>
    <w:rsid w:val="00FD13EC"/>
    <w:rsid w:val="00FD1410"/>
    <w:rsid w:val="00FD1575"/>
    <w:rsid w:val="00FD1DF3"/>
    <w:rsid w:val="00FD1F43"/>
    <w:rsid w:val="00FD1FD1"/>
    <w:rsid w:val="00FD1FD8"/>
    <w:rsid w:val="00FD2118"/>
    <w:rsid w:val="00FD2209"/>
    <w:rsid w:val="00FD2263"/>
    <w:rsid w:val="00FD2349"/>
    <w:rsid w:val="00FD2415"/>
    <w:rsid w:val="00FD25E7"/>
    <w:rsid w:val="00FD25EC"/>
    <w:rsid w:val="00FD26C1"/>
    <w:rsid w:val="00FD26E3"/>
    <w:rsid w:val="00FD298F"/>
    <w:rsid w:val="00FD2A97"/>
    <w:rsid w:val="00FD2C74"/>
    <w:rsid w:val="00FD2C8F"/>
    <w:rsid w:val="00FD2D01"/>
    <w:rsid w:val="00FD2D25"/>
    <w:rsid w:val="00FD2D41"/>
    <w:rsid w:val="00FD33E2"/>
    <w:rsid w:val="00FD3463"/>
    <w:rsid w:val="00FD34A8"/>
    <w:rsid w:val="00FD34F7"/>
    <w:rsid w:val="00FD3753"/>
    <w:rsid w:val="00FD3BB7"/>
    <w:rsid w:val="00FD3BFB"/>
    <w:rsid w:val="00FD3DA6"/>
    <w:rsid w:val="00FD3E3C"/>
    <w:rsid w:val="00FD3F58"/>
    <w:rsid w:val="00FD3FD6"/>
    <w:rsid w:val="00FD40F3"/>
    <w:rsid w:val="00FD42E3"/>
    <w:rsid w:val="00FD4503"/>
    <w:rsid w:val="00FD46F3"/>
    <w:rsid w:val="00FD4865"/>
    <w:rsid w:val="00FD4DE5"/>
    <w:rsid w:val="00FD4EFB"/>
    <w:rsid w:val="00FD4FAE"/>
    <w:rsid w:val="00FD506B"/>
    <w:rsid w:val="00FD524D"/>
    <w:rsid w:val="00FD5498"/>
    <w:rsid w:val="00FD561C"/>
    <w:rsid w:val="00FD5758"/>
    <w:rsid w:val="00FD5948"/>
    <w:rsid w:val="00FD5B14"/>
    <w:rsid w:val="00FD5ED0"/>
    <w:rsid w:val="00FD60C6"/>
    <w:rsid w:val="00FD62F6"/>
    <w:rsid w:val="00FD6763"/>
    <w:rsid w:val="00FD6788"/>
    <w:rsid w:val="00FD67E0"/>
    <w:rsid w:val="00FD6827"/>
    <w:rsid w:val="00FD6A35"/>
    <w:rsid w:val="00FD6B12"/>
    <w:rsid w:val="00FD6CDF"/>
    <w:rsid w:val="00FD6DC9"/>
    <w:rsid w:val="00FD7200"/>
    <w:rsid w:val="00FD722F"/>
    <w:rsid w:val="00FD74A1"/>
    <w:rsid w:val="00FD751F"/>
    <w:rsid w:val="00FD7584"/>
    <w:rsid w:val="00FD759A"/>
    <w:rsid w:val="00FD783B"/>
    <w:rsid w:val="00FD7AC9"/>
    <w:rsid w:val="00FD7C27"/>
    <w:rsid w:val="00FD7E2A"/>
    <w:rsid w:val="00FD7E75"/>
    <w:rsid w:val="00FE0231"/>
    <w:rsid w:val="00FE092C"/>
    <w:rsid w:val="00FE09CC"/>
    <w:rsid w:val="00FE09F6"/>
    <w:rsid w:val="00FE0BC2"/>
    <w:rsid w:val="00FE0C2F"/>
    <w:rsid w:val="00FE0D3D"/>
    <w:rsid w:val="00FE0EF5"/>
    <w:rsid w:val="00FE102A"/>
    <w:rsid w:val="00FE138A"/>
    <w:rsid w:val="00FE13CD"/>
    <w:rsid w:val="00FE17AC"/>
    <w:rsid w:val="00FE186E"/>
    <w:rsid w:val="00FE1977"/>
    <w:rsid w:val="00FE1AD9"/>
    <w:rsid w:val="00FE1B02"/>
    <w:rsid w:val="00FE2096"/>
    <w:rsid w:val="00FE25D6"/>
    <w:rsid w:val="00FE295D"/>
    <w:rsid w:val="00FE296E"/>
    <w:rsid w:val="00FE2CF9"/>
    <w:rsid w:val="00FE2DDF"/>
    <w:rsid w:val="00FE2E3A"/>
    <w:rsid w:val="00FE3291"/>
    <w:rsid w:val="00FE33B7"/>
    <w:rsid w:val="00FE3935"/>
    <w:rsid w:val="00FE3B60"/>
    <w:rsid w:val="00FE3C61"/>
    <w:rsid w:val="00FE3E4D"/>
    <w:rsid w:val="00FE3F1F"/>
    <w:rsid w:val="00FE432E"/>
    <w:rsid w:val="00FE4883"/>
    <w:rsid w:val="00FE4AD0"/>
    <w:rsid w:val="00FE4DDE"/>
    <w:rsid w:val="00FE506E"/>
    <w:rsid w:val="00FE511E"/>
    <w:rsid w:val="00FE52FA"/>
    <w:rsid w:val="00FE5302"/>
    <w:rsid w:val="00FE5397"/>
    <w:rsid w:val="00FE566D"/>
    <w:rsid w:val="00FE587F"/>
    <w:rsid w:val="00FE59E8"/>
    <w:rsid w:val="00FE5AAE"/>
    <w:rsid w:val="00FE5BD3"/>
    <w:rsid w:val="00FE5EA2"/>
    <w:rsid w:val="00FE5ECB"/>
    <w:rsid w:val="00FE6352"/>
    <w:rsid w:val="00FE6393"/>
    <w:rsid w:val="00FE69C7"/>
    <w:rsid w:val="00FE6A8E"/>
    <w:rsid w:val="00FE6CD7"/>
    <w:rsid w:val="00FE6DE9"/>
    <w:rsid w:val="00FE6E4E"/>
    <w:rsid w:val="00FE6E7F"/>
    <w:rsid w:val="00FE6EFD"/>
    <w:rsid w:val="00FE702E"/>
    <w:rsid w:val="00FE70CD"/>
    <w:rsid w:val="00FE717C"/>
    <w:rsid w:val="00FE7242"/>
    <w:rsid w:val="00FE73B1"/>
    <w:rsid w:val="00FE7574"/>
    <w:rsid w:val="00FE77F7"/>
    <w:rsid w:val="00FE7926"/>
    <w:rsid w:val="00FE7949"/>
    <w:rsid w:val="00FE7A3D"/>
    <w:rsid w:val="00FE7BE1"/>
    <w:rsid w:val="00FE7DF8"/>
    <w:rsid w:val="00FE7EAB"/>
    <w:rsid w:val="00FE7EDD"/>
    <w:rsid w:val="00FE7F72"/>
    <w:rsid w:val="00FF019E"/>
    <w:rsid w:val="00FF0278"/>
    <w:rsid w:val="00FF0365"/>
    <w:rsid w:val="00FF0593"/>
    <w:rsid w:val="00FF06C7"/>
    <w:rsid w:val="00FF0792"/>
    <w:rsid w:val="00FF07E2"/>
    <w:rsid w:val="00FF084B"/>
    <w:rsid w:val="00FF0B6F"/>
    <w:rsid w:val="00FF0BB6"/>
    <w:rsid w:val="00FF0E7D"/>
    <w:rsid w:val="00FF0F0E"/>
    <w:rsid w:val="00FF1040"/>
    <w:rsid w:val="00FF1130"/>
    <w:rsid w:val="00FF12D1"/>
    <w:rsid w:val="00FF1403"/>
    <w:rsid w:val="00FF19FC"/>
    <w:rsid w:val="00FF1A82"/>
    <w:rsid w:val="00FF1ACA"/>
    <w:rsid w:val="00FF1B61"/>
    <w:rsid w:val="00FF1BD2"/>
    <w:rsid w:val="00FF1C42"/>
    <w:rsid w:val="00FF1C9D"/>
    <w:rsid w:val="00FF1E73"/>
    <w:rsid w:val="00FF1F99"/>
    <w:rsid w:val="00FF2074"/>
    <w:rsid w:val="00FF228F"/>
    <w:rsid w:val="00FF2520"/>
    <w:rsid w:val="00FF2814"/>
    <w:rsid w:val="00FF293A"/>
    <w:rsid w:val="00FF2C84"/>
    <w:rsid w:val="00FF310C"/>
    <w:rsid w:val="00FF3407"/>
    <w:rsid w:val="00FF36A5"/>
    <w:rsid w:val="00FF3743"/>
    <w:rsid w:val="00FF3C5C"/>
    <w:rsid w:val="00FF40C0"/>
    <w:rsid w:val="00FF4266"/>
    <w:rsid w:val="00FF442C"/>
    <w:rsid w:val="00FF451A"/>
    <w:rsid w:val="00FF4730"/>
    <w:rsid w:val="00FF4D8B"/>
    <w:rsid w:val="00FF4EC0"/>
    <w:rsid w:val="00FF5013"/>
    <w:rsid w:val="00FF5069"/>
    <w:rsid w:val="00FF507F"/>
    <w:rsid w:val="00FF5196"/>
    <w:rsid w:val="00FF5298"/>
    <w:rsid w:val="00FF52F4"/>
    <w:rsid w:val="00FF55B6"/>
    <w:rsid w:val="00FF577C"/>
    <w:rsid w:val="00FF5B53"/>
    <w:rsid w:val="00FF678B"/>
    <w:rsid w:val="00FF68F8"/>
    <w:rsid w:val="00FF6A5A"/>
    <w:rsid w:val="00FF6BF0"/>
    <w:rsid w:val="00FF72B0"/>
    <w:rsid w:val="00FF74CB"/>
    <w:rsid w:val="00FF78E1"/>
    <w:rsid w:val="00FF7930"/>
    <w:rsid w:val="00FF7E6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41DC9F"/>
  <w15:docId w15:val="{5AC1BC60-ECE5-48B9-A18E-B7BEC226E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5B07"/>
    <w:pPr>
      <w:spacing w:after="0"/>
      <w:ind w:firstLine="567"/>
      <w:jc w:val="both"/>
    </w:pPr>
    <w:rPr>
      <w:rFonts w:ascii="Times New Roman" w:hAnsi="Times New Roman" w:cs="Times New Roman"/>
      <w:shd w:val="clear" w:color="auto" w:fill="FFFFFF"/>
    </w:rPr>
  </w:style>
  <w:style w:type="paragraph" w:styleId="Heading1">
    <w:name w:val="heading 1"/>
    <w:aliases w:val="Chuong"/>
    <w:basedOn w:val="Heading2"/>
    <w:next w:val="Normal"/>
    <w:link w:val="Heading1Char"/>
    <w:uiPriority w:val="9"/>
    <w:qFormat/>
    <w:rsid w:val="00CE6292"/>
    <w:pPr>
      <w:numPr>
        <w:ilvl w:val="0"/>
      </w:numPr>
      <w:jc w:val="center"/>
      <w:outlineLvl w:val="0"/>
    </w:pPr>
    <w:rPr>
      <w:iCs w:val="0"/>
      <w:lang w:val="es-ES"/>
    </w:rPr>
  </w:style>
  <w:style w:type="paragraph" w:styleId="Heading2">
    <w:name w:val="heading 2"/>
    <w:basedOn w:val="Normal"/>
    <w:next w:val="Normal"/>
    <w:link w:val="Heading2Char"/>
    <w:uiPriority w:val="9"/>
    <w:qFormat/>
    <w:rsid w:val="00CE6292"/>
    <w:pPr>
      <w:keepNext/>
      <w:numPr>
        <w:ilvl w:val="1"/>
        <w:numId w:val="6"/>
      </w:numPr>
      <w:spacing w:line="340" w:lineRule="exact"/>
      <w:outlineLvl w:val="1"/>
    </w:pPr>
    <w:rPr>
      <w:rFonts w:eastAsia="Times New Roman"/>
      <w:b/>
      <w:iCs/>
      <w:noProof/>
    </w:rPr>
  </w:style>
  <w:style w:type="paragraph" w:styleId="Heading3">
    <w:name w:val="heading 3"/>
    <w:basedOn w:val="Heading2"/>
    <w:next w:val="Normal"/>
    <w:link w:val="Heading3Char"/>
    <w:uiPriority w:val="9"/>
    <w:qFormat/>
    <w:rsid w:val="00CE6292"/>
    <w:pPr>
      <w:numPr>
        <w:ilvl w:val="2"/>
      </w:numPr>
      <w:outlineLvl w:val="2"/>
    </w:pPr>
    <w:rPr>
      <w:rFonts w:ascii="Times New Roman Bold" w:hAnsi="Times New Roman Bold"/>
      <w:bCs/>
      <w:i/>
      <w:iCs w:val="0"/>
    </w:rPr>
  </w:style>
  <w:style w:type="paragraph" w:styleId="Heading4">
    <w:name w:val="heading 4"/>
    <w:basedOn w:val="Normal"/>
    <w:next w:val="Normal"/>
    <w:link w:val="Heading4Char"/>
    <w:uiPriority w:val="9"/>
    <w:unhideWhenUsed/>
    <w:qFormat/>
    <w:rsid w:val="00A33435"/>
    <w:pPr>
      <w:keepNext/>
      <w:keepLines/>
      <w:numPr>
        <w:ilvl w:val="3"/>
        <w:numId w:val="6"/>
      </w:numPr>
      <w:outlineLvl w:val="3"/>
    </w:pPr>
    <w:rPr>
      <w:rFonts w:eastAsiaTheme="majorEastAsia"/>
      <w:i/>
    </w:rPr>
  </w:style>
  <w:style w:type="paragraph" w:styleId="Heading5">
    <w:name w:val="heading 5"/>
    <w:basedOn w:val="Normal"/>
    <w:next w:val="Normal"/>
    <w:link w:val="Heading5Char"/>
    <w:uiPriority w:val="9"/>
    <w:rsid w:val="00820108"/>
    <w:pPr>
      <w:keepNext/>
      <w:keepLines/>
      <w:numPr>
        <w:ilvl w:val="4"/>
        <w:numId w:val="6"/>
      </w:numPr>
      <w:spacing w:before="40" w:line="360" w:lineRule="auto"/>
      <w:outlineLvl w:val="4"/>
    </w:pPr>
    <w:rPr>
      <w:rFonts w:ascii="Cambria" w:eastAsia="Times New Roman" w:hAnsi="Cambria"/>
      <w:color w:val="365F91"/>
      <w:sz w:val="28"/>
      <w:szCs w:val="28"/>
      <w:lang w:val="vi-VN"/>
    </w:rPr>
  </w:style>
  <w:style w:type="paragraph" w:styleId="Heading6">
    <w:name w:val="heading 6"/>
    <w:basedOn w:val="Normal"/>
    <w:next w:val="Normal"/>
    <w:link w:val="Heading6Char"/>
    <w:uiPriority w:val="9"/>
    <w:rsid w:val="00820108"/>
    <w:pPr>
      <w:keepNext/>
      <w:keepLines/>
      <w:numPr>
        <w:ilvl w:val="5"/>
        <w:numId w:val="6"/>
      </w:numPr>
      <w:spacing w:before="40" w:line="360" w:lineRule="auto"/>
      <w:outlineLvl w:val="5"/>
    </w:pPr>
    <w:rPr>
      <w:rFonts w:ascii="Cambria" w:eastAsia="Times New Roman" w:hAnsi="Cambria"/>
      <w:color w:val="243F60"/>
      <w:sz w:val="28"/>
      <w:szCs w:val="28"/>
      <w:lang w:val="vi-VN"/>
    </w:rPr>
  </w:style>
  <w:style w:type="paragraph" w:styleId="Heading7">
    <w:name w:val="heading 7"/>
    <w:basedOn w:val="Normal"/>
    <w:next w:val="Normal"/>
    <w:link w:val="Heading7Char"/>
    <w:uiPriority w:val="9"/>
    <w:rsid w:val="00820108"/>
    <w:pPr>
      <w:keepNext/>
      <w:keepLines/>
      <w:numPr>
        <w:ilvl w:val="6"/>
        <w:numId w:val="6"/>
      </w:numPr>
      <w:spacing w:before="40" w:line="360" w:lineRule="auto"/>
      <w:outlineLvl w:val="6"/>
    </w:pPr>
    <w:rPr>
      <w:rFonts w:ascii="Cambria" w:eastAsia="Times New Roman" w:hAnsi="Cambria"/>
      <w:i/>
      <w:iCs/>
      <w:color w:val="243F60"/>
      <w:sz w:val="28"/>
      <w:szCs w:val="28"/>
      <w:lang w:val="vi-VN"/>
    </w:rPr>
  </w:style>
  <w:style w:type="paragraph" w:styleId="Heading8">
    <w:name w:val="heading 8"/>
    <w:basedOn w:val="Normal"/>
    <w:next w:val="Normal"/>
    <w:link w:val="Heading8Char"/>
    <w:uiPriority w:val="9"/>
    <w:rsid w:val="00820108"/>
    <w:pPr>
      <w:keepNext/>
      <w:keepLines/>
      <w:numPr>
        <w:ilvl w:val="7"/>
        <w:numId w:val="6"/>
      </w:numPr>
      <w:spacing w:before="40" w:line="360" w:lineRule="auto"/>
      <w:outlineLvl w:val="7"/>
    </w:pPr>
    <w:rPr>
      <w:rFonts w:ascii="Cambria" w:eastAsia="Times New Roman" w:hAnsi="Cambria"/>
      <w:color w:val="272727"/>
      <w:sz w:val="21"/>
      <w:szCs w:val="21"/>
      <w:lang w:val="vi-VN"/>
    </w:rPr>
  </w:style>
  <w:style w:type="paragraph" w:styleId="Heading9">
    <w:name w:val="heading 9"/>
    <w:basedOn w:val="Normal"/>
    <w:next w:val="Normal"/>
    <w:link w:val="Heading9Char"/>
    <w:uiPriority w:val="9"/>
    <w:rsid w:val="00820108"/>
    <w:pPr>
      <w:keepNext/>
      <w:keepLines/>
      <w:numPr>
        <w:ilvl w:val="8"/>
        <w:numId w:val="6"/>
      </w:numPr>
      <w:spacing w:before="40" w:line="360" w:lineRule="auto"/>
      <w:outlineLvl w:val="8"/>
    </w:pPr>
    <w:rPr>
      <w:rFonts w:ascii="Cambria" w:eastAsia="Times New Roman" w:hAnsi="Cambria"/>
      <w:i/>
      <w:iCs/>
      <w:color w:val="272727"/>
      <w:sz w:val="21"/>
      <w:szCs w:val="21"/>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E6292"/>
    <w:rPr>
      <w:rFonts w:ascii="Times New Roman" w:eastAsia="Times New Roman" w:hAnsi="Times New Roman" w:cs="Times New Roman"/>
      <w:b/>
      <w:iCs/>
      <w:noProof/>
    </w:rPr>
  </w:style>
  <w:style w:type="character" w:customStyle="1" w:styleId="Heading1Char">
    <w:name w:val="Heading 1 Char"/>
    <w:aliases w:val="Chuong Char"/>
    <w:basedOn w:val="DefaultParagraphFont"/>
    <w:link w:val="Heading1"/>
    <w:uiPriority w:val="9"/>
    <w:rsid w:val="00CE6292"/>
    <w:rPr>
      <w:rFonts w:ascii="Times New Roman" w:eastAsia="Times New Roman" w:hAnsi="Times New Roman" w:cs="Times New Roman"/>
      <w:b/>
      <w:noProof/>
      <w:lang w:val="es-ES"/>
    </w:rPr>
  </w:style>
  <w:style w:type="character" w:customStyle="1" w:styleId="Heading3Char">
    <w:name w:val="Heading 3 Char"/>
    <w:basedOn w:val="DefaultParagraphFont"/>
    <w:link w:val="Heading3"/>
    <w:uiPriority w:val="9"/>
    <w:rsid w:val="00CE6292"/>
    <w:rPr>
      <w:rFonts w:ascii="Times New Roman Bold" w:eastAsia="Times New Roman" w:hAnsi="Times New Roman Bold" w:cs="Times New Roman"/>
      <w:b/>
      <w:bCs/>
      <w:i/>
      <w:noProof/>
    </w:rPr>
  </w:style>
  <w:style w:type="character" w:customStyle="1" w:styleId="Heading4Char">
    <w:name w:val="Heading 4 Char"/>
    <w:basedOn w:val="DefaultParagraphFont"/>
    <w:link w:val="Heading4"/>
    <w:uiPriority w:val="9"/>
    <w:rsid w:val="00A33435"/>
    <w:rPr>
      <w:rFonts w:ascii="Times New Roman" w:eastAsiaTheme="majorEastAsia" w:hAnsi="Times New Roman" w:cs="Times New Roman"/>
      <w:i/>
    </w:rPr>
  </w:style>
  <w:style w:type="table" w:styleId="TableGrid">
    <w:name w:val="Table Grid"/>
    <w:basedOn w:val="TableNormal"/>
    <w:uiPriority w:val="39"/>
    <w:rsid w:val="00D350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35050"/>
    <w:pPr>
      <w:tabs>
        <w:tab w:val="center" w:pos="4680"/>
        <w:tab w:val="right" w:pos="9360"/>
      </w:tabs>
      <w:spacing w:line="240" w:lineRule="auto"/>
    </w:pPr>
  </w:style>
  <w:style w:type="character" w:customStyle="1" w:styleId="HeaderChar">
    <w:name w:val="Header Char"/>
    <w:basedOn w:val="DefaultParagraphFont"/>
    <w:link w:val="Header"/>
    <w:uiPriority w:val="99"/>
    <w:rsid w:val="00D35050"/>
  </w:style>
  <w:style w:type="paragraph" w:styleId="Footer">
    <w:name w:val="footer"/>
    <w:basedOn w:val="Normal"/>
    <w:link w:val="FooterChar"/>
    <w:unhideWhenUsed/>
    <w:rsid w:val="00D35050"/>
    <w:pPr>
      <w:tabs>
        <w:tab w:val="center" w:pos="4680"/>
        <w:tab w:val="right" w:pos="9360"/>
      </w:tabs>
      <w:spacing w:line="240" w:lineRule="auto"/>
    </w:pPr>
  </w:style>
  <w:style w:type="character" w:customStyle="1" w:styleId="FooterChar">
    <w:name w:val="Footer Char"/>
    <w:basedOn w:val="DefaultParagraphFont"/>
    <w:link w:val="Footer"/>
    <w:rsid w:val="00D35050"/>
  </w:style>
  <w:style w:type="paragraph" w:styleId="ListParagraph">
    <w:name w:val="List Paragraph"/>
    <w:basedOn w:val="Normal"/>
    <w:link w:val="ListParagraphChar"/>
    <w:uiPriority w:val="34"/>
    <w:qFormat/>
    <w:rsid w:val="00D35050"/>
    <w:pPr>
      <w:ind w:left="720"/>
      <w:contextualSpacing/>
    </w:pPr>
  </w:style>
  <w:style w:type="character" w:styleId="PlaceholderText">
    <w:name w:val="Placeholder Text"/>
    <w:basedOn w:val="DefaultParagraphFont"/>
    <w:uiPriority w:val="99"/>
    <w:semiHidden/>
    <w:rsid w:val="00D35050"/>
    <w:rPr>
      <w:color w:val="808080"/>
    </w:rPr>
  </w:style>
  <w:style w:type="paragraph" w:styleId="NormalWeb">
    <w:name w:val="Normal (Web)"/>
    <w:basedOn w:val="Normal"/>
    <w:link w:val="NormalWebChar"/>
    <w:uiPriority w:val="99"/>
    <w:unhideWhenUsed/>
    <w:rsid w:val="00103BA0"/>
    <w:pPr>
      <w:spacing w:before="100" w:beforeAutospacing="1" w:after="100" w:afterAutospacing="1" w:line="240" w:lineRule="auto"/>
    </w:pPr>
    <w:rPr>
      <w:rFonts w:eastAsia="Times New Roman"/>
      <w:sz w:val="24"/>
      <w:szCs w:val="24"/>
    </w:rPr>
  </w:style>
  <w:style w:type="paragraph" w:styleId="BodyText">
    <w:name w:val="Body Text"/>
    <w:basedOn w:val="Normal"/>
    <w:link w:val="BodyTextChar"/>
    <w:rsid w:val="00103BA0"/>
    <w:pPr>
      <w:spacing w:line="240" w:lineRule="auto"/>
    </w:pPr>
    <w:rPr>
      <w:rFonts w:ascii=".VnTime" w:eastAsia="Times New Roman" w:hAnsi=".VnTime"/>
      <w:sz w:val="32"/>
      <w:szCs w:val="20"/>
    </w:rPr>
  </w:style>
  <w:style w:type="character" w:customStyle="1" w:styleId="BodyTextChar">
    <w:name w:val="Body Text Char"/>
    <w:basedOn w:val="DefaultParagraphFont"/>
    <w:link w:val="BodyText"/>
    <w:rsid w:val="00103BA0"/>
    <w:rPr>
      <w:rFonts w:ascii=".VnTime" w:eastAsia="Times New Roman" w:hAnsi=".VnTime" w:cs="Times New Roman"/>
      <w:sz w:val="32"/>
      <w:szCs w:val="20"/>
    </w:rPr>
  </w:style>
  <w:style w:type="paragraph" w:customStyle="1" w:styleId="Danhmuchinh">
    <w:name w:val="Danh muc hinh"/>
    <w:basedOn w:val="Normal"/>
    <w:qFormat/>
    <w:rsid w:val="00103BA0"/>
    <w:pPr>
      <w:spacing w:line="360" w:lineRule="auto"/>
      <w:ind w:firstLine="720"/>
      <w:jc w:val="center"/>
    </w:pPr>
    <w:rPr>
      <w:rFonts w:eastAsia="Times New Roman"/>
      <w:b/>
      <w:bCs/>
      <w:spacing w:val="-8"/>
      <w:sz w:val="28"/>
      <w:szCs w:val="28"/>
      <w:lang w:val="vi-VN"/>
    </w:rPr>
  </w:style>
  <w:style w:type="paragraph" w:customStyle="1" w:styleId="2">
    <w:name w:val="2"/>
    <w:basedOn w:val="Normal"/>
    <w:rsid w:val="00103BA0"/>
    <w:pPr>
      <w:spacing w:line="312" w:lineRule="auto"/>
    </w:pPr>
    <w:rPr>
      <w:rFonts w:ascii=".VnTime" w:eastAsia="Times New Roman" w:hAnsi=".VnTime"/>
      <w:sz w:val="28"/>
      <w:szCs w:val="24"/>
      <w:lang w:val="vi-VN"/>
    </w:rPr>
  </w:style>
  <w:style w:type="paragraph" w:customStyle="1" w:styleId="Danhmucbang">
    <w:name w:val="Danh muc bang"/>
    <w:basedOn w:val="Caption"/>
    <w:qFormat/>
    <w:rsid w:val="00103BA0"/>
    <w:pPr>
      <w:spacing w:line="360" w:lineRule="auto"/>
      <w:jc w:val="center"/>
    </w:pPr>
    <w:rPr>
      <w:rFonts w:eastAsia="Times New Roman"/>
      <w:color w:val="auto"/>
      <w:spacing w:val="-8"/>
      <w:sz w:val="28"/>
      <w:szCs w:val="28"/>
      <w:lang w:val="vi-VN"/>
    </w:rPr>
  </w:style>
  <w:style w:type="paragraph" w:styleId="Caption">
    <w:name w:val="caption"/>
    <w:basedOn w:val="Normal"/>
    <w:next w:val="Normal"/>
    <w:uiPriority w:val="35"/>
    <w:unhideWhenUsed/>
    <w:qFormat/>
    <w:rsid w:val="00103BA0"/>
    <w:pPr>
      <w:spacing w:line="240" w:lineRule="auto"/>
    </w:pPr>
    <w:rPr>
      <w:b/>
      <w:bCs/>
      <w:color w:val="4F81BD" w:themeColor="accent1"/>
      <w:sz w:val="18"/>
      <w:szCs w:val="18"/>
    </w:rPr>
  </w:style>
  <w:style w:type="paragraph" w:styleId="BalloonText">
    <w:name w:val="Balloon Text"/>
    <w:basedOn w:val="Normal"/>
    <w:link w:val="BalloonTextChar"/>
    <w:uiPriority w:val="99"/>
    <w:semiHidden/>
    <w:unhideWhenUsed/>
    <w:rsid w:val="00103BA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3BA0"/>
    <w:rPr>
      <w:rFonts w:ascii="Tahoma" w:hAnsi="Tahoma" w:cs="Tahoma"/>
      <w:sz w:val="16"/>
      <w:szCs w:val="16"/>
    </w:rPr>
  </w:style>
  <w:style w:type="character" w:styleId="Strong">
    <w:name w:val="Strong"/>
    <w:basedOn w:val="DefaultParagraphFont"/>
    <w:uiPriority w:val="22"/>
    <w:rsid w:val="00103BA0"/>
    <w:rPr>
      <w:b/>
      <w:bCs/>
    </w:rPr>
  </w:style>
  <w:style w:type="character" w:customStyle="1" w:styleId="apple-converted-space">
    <w:name w:val="apple-converted-space"/>
    <w:basedOn w:val="DefaultParagraphFont"/>
    <w:rsid w:val="00103BA0"/>
  </w:style>
  <w:style w:type="character" w:styleId="Hyperlink">
    <w:name w:val="Hyperlink"/>
    <w:basedOn w:val="DefaultParagraphFont"/>
    <w:uiPriority w:val="99"/>
    <w:unhideWhenUsed/>
    <w:rsid w:val="00103BA0"/>
    <w:rPr>
      <w:color w:val="0000FF" w:themeColor="hyperlink"/>
      <w:u w:val="single"/>
    </w:rPr>
  </w:style>
  <w:style w:type="paragraph" w:styleId="TOCHeading">
    <w:name w:val="TOC Heading"/>
    <w:basedOn w:val="Heading1"/>
    <w:next w:val="Normal"/>
    <w:uiPriority w:val="39"/>
    <w:unhideWhenUsed/>
    <w:qFormat/>
    <w:rsid w:val="00103BA0"/>
    <w:pPr>
      <w:keepLines/>
      <w:spacing w:before="480"/>
      <w:jc w:val="left"/>
      <w:outlineLvl w:val="9"/>
    </w:pPr>
    <w:rPr>
      <w:rFonts w:asciiTheme="majorHAnsi" w:eastAsiaTheme="majorEastAsia" w:hAnsiTheme="majorHAnsi" w:cstheme="majorBidi"/>
      <w:bCs/>
      <w:color w:val="365F91" w:themeColor="accent1" w:themeShade="BF"/>
      <w:szCs w:val="28"/>
    </w:rPr>
  </w:style>
  <w:style w:type="paragraph" w:styleId="TOC1">
    <w:name w:val="toc 1"/>
    <w:basedOn w:val="Normal"/>
    <w:next w:val="Normal"/>
    <w:autoRedefine/>
    <w:uiPriority w:val="39"/>
    <w:unhideWhenUsed/>
    <w:rsid w:val="00103BA0"/>
    <w:pPr>
      <w:spacing w:after="100"/>
    </w:pPr>
  </w:style>
  <w:style w:type="paragraph" w:styleId="TOC2">
    <w:name w:val="toc 2"/>
    <w:basedOn w:val="Normal"/>
    <w:next w:val="Normal"/>
    <w:autoRedefine/>
    <w:uiPriority w:val="39"/>
    <w:unhideWhenUsed/>
    <w:rsid w:val="00A45C6D"/>
    <w:pPr>
      <w:tabs>
        <w:tab w:val="right" w:leader="dot" w:pos="8778"/>
      </w:tabs>
      <w:spacing w:line="360" w:lineRule="auto"/>
      <w:ind w:left="851" w:right="397" w:hanging="631"/>
    </w:pPr>
  </w:style>
  <w:style w:type="paragraph" w:styleId="TOC3">
    <w:name w:val="toc 3"/>
    <w:basedOn w:val="Normal"/>
    <w:next w:val="Normal"/>
    <w:autoRedefine/>
    <w:uiPriority w:val="39"/>
    <w:unhideWhenUsed/>
    <w:rsid w:val="00A45C6D"/>
    <w:pPr>
      <w:tabs>
        <w:tab w:val="left" w:pos="1320"/>
        <w:tab w:val="right" w:leader="dot" w:pos="8778"/>
      </w:tabs>
      <w:spacing w:line="360" w:lineRule="auto"/>
      <w:ind w:left="1134" w:right="397" w:hanging="694"/>
    </w:pPr>
  </w:style>
  <w:style w:type="character" w:customStyle="1" w:styleId="Bodytext0">
    <w:name w:val="Body text_"/>
    <w:basedOn w:val="DefaultParagraphFont"/>
    <w:link w:val="BodyText1"/>
    <w:locked/>
    <w:rsid w:val="000A6B5D"/>
    <w:rPr>
      <w:rFonts w:ascii="Times New Roman" w:hAnsi="Times New Roman" w:cs="Times New Roman"/>
      <w:sz w:val="27"/>
      <w:szCs w:val="27"/>
      <w:shd w:val="clear" w:color="auto" w:fill="FFFFFF"/>
    </w:rPr>
  </w:style>
  <w:style w:type="paragraph" w:customStyle="1" w:styleId="BodyText1">
    <w:name w:val="Body Text1"/>
    <w:basedOn w:val="Normal"/>
    <w:link w:val="Bodytext0"/>
    <w:rsid w:val="000A6B5D"/>
    <w:pPr>
      <w:widowControl w:val="0"/>
      <w:shd w:val="clear" w:color="auto" w:fill="FFFFFF"/>
      <w:spacing w:line="283" w:lineRule="exact"/>
    </w:pPr>
    <w:rPr>
      <w:sz w:val="27"/>
      <w:szCs w:val="27"/>
    </w:rPr>
  </w:style>
  <w:style w:type="character" w:customStyle="1" w:styleId="BodytextBold">
    <w:name w:val="Body text + Bold"/>
    <w:basedOn w:val="Bodytext0"/>
    <w:uiPriority w:val="99"/>
    <w:rsid w:val="000C2137"/>
    <w:rPr>
      <w:rFonts w:ascii="Times New Roman" w:hAnsi="Times New Roman" w:cs="Times New Roman"/>
      <w:b/>
      <w:bCs/>
      <w:sz w:val="27"/>
      <w:szCs w:val="27"/>
      <w:shd w:val="clear" w:color="auto" w:fill="FFFFFF"/>
    </w:rPr>
  </w:style>
  <w:style w:type="paragraph" w:customStyle="1" w:styleId="BodyText2">
    <w:name w:val="Body Text2"/>
    <w:basedOn w:val="Normal"/>
    <w:rsid w:val="000C2137"/>
    <w:pPr>
      <w:widowControl w:val="0"/>
      <w:shd w:val="clear" w:color="auto" w:fill="FFFFFF"/>
      <w:spacing w:line="283" w:lineRule="exact"/>
    </w:pPr>
    <w:rPr>
      <w:rFonts w:eastAsia="Times New Roman"/>
      <w:sz w:val="27"/>
      <w:szCs w:val="27"/>
    </w:rPr>
  </w:style>
  <w:style w:type="paragraph" w:customStyle="1" w:styleId="BodyText3">
    <w:name w:val="Body Text3"/>
    <w:basedOn w:val="Normal"/>
    <w:rsid w:val="00E26B27"/>
    <w:pPr>
      <w:widowControl w:val="0"/>
      <w:shd w:val="clear" w:color="auto" w:fill="FFFFFF"/>
      <w:spacing w:line="283" w:lineRule="exact"/>
    </w:pPr>
    <w:rPr>
      <w:rFonts w:eastAsia="Times New Roman"/>
      <w:sz w:val="27"/>
      <w:szCs w:val="27"/>
    </w:rPr>
  </w:style>
  <w:style w:type="paragraph" w:customStyle="1" w:styleId="Bodytext10">
    <w:name w:val="Body text1"/>
    <w:basedOn w:val="Normal"/>
    <w:uiPriority w:val="99"/>
    <w:rsid w:val="00E26B27"/>
    <w:pPr>
      <w:widowControl w:val="0"/>
      <w:shd w:val="clear" w:color="auto" w:fill="FFFFFF"/>
      <w:spacing w:after="60" w:line="240" w:lineRule="atLeast"/>
      <w:jc w:val="center"/>
    </w:pPr>
    <w:rPr>
      <w:rFonts w:ascii="Courier New" w:eastAsia="Times New Roman" w:hAnsi="Courier New"/>
      <w:b/>
      <w:bCs/>
      <w:sz w:val="27"/>
      <w:szCs w:val="27"/>
      <w:lang w:val="vi-VN"/>
    </w:rPr>
  </w:style>
  <w:style w:type="paragraph" w:customStyle="1" w:styleId="BodyText4">
    <w:name w:val="Body Text4"/>
    <w:basedOn w:val="Normal"/>
    <w:uiPriority w:val="99"/>
    <w:rsid w:val="00E9257B"/>
    <w:pPr>
      <w:widowControl w:val="0"/>
      <w:shd w:val="clear" w:color="auto" w:fill="FFFFFF"/>
      <w:spacing w:line="283" w:lineRule="exact"/>
    </w:pPr>
    <w:rPr>
      <w:rFonts w:eastAsia="Times New Roman"/>
      <w:sz w:val="27"/>
      <w:szCs w:val="27"/>
    </w:rPr>
  </w:style>
  <w:style w:type="character" w:styleId="Emphasis">
    <w:name w:val="Emphasis"/>
    <w:basedOn w:val="DefaultParagraphFont"/>
    <w:uiPriority w:val="20"/>
    <w:qFormat/>
    <w:rsid w:val="006F6043"/>
    <w:rPr>
      <w:i/>
      <w:iCs/>
    </w:rPr>
  </w:style>
  <w:style w:type="character" w:customStyle="1" w:styleId="reference-text">
    <w:name w:val="reference-text"/>
    <w:basedOn w:val="DefaultParagraphFont"/>
    <w:rsid w:val="00237433"/>
  </w:style>
  <w:style w:type="character" w:customStyle="1" w:styleId="Bodytext6">
    <w:name w:val="Body text (6)_"/>
    <w:basedOn w:val="DefaultParagraphFont"/>
    <w:link w:val="Bodytext60"/>
    <w:uiPriority w:val="99"/>
    <w:locked/>
    <w:rsid w:val="00832199"/>
    <w:rPr>
      <w:rFonts w:ascii="Trebuchet MS" w:hAnsi="Trebuchet MS" w:cs="Trebuchet MS"/>
      <w:b/>
      <w:bCs/>
      <w:sz w:val="15"/>
      <w:szCs w:val="15"/>
      <w:shd w:val="clear" w:color="auto" w:fill="FFFFFF"/>
    </w:rPr>
  </w:style>
  <w:style w:type="paragraph" w:customStyle="1" w:styleId="Bodytext60">
    <w:name w:val="Body text (6)"/>
    <w:basedOn w:val="Normal"/>
    <w:link w:val="Bodytext6"/>
    <w:uiPriority w:val="99"/>
    <w:rsid w:val="00832199"/>
    <w:pPr>
      <w:widowControl w:val="0"/>
      <w:shd w:val="clear" w:color="auto" w:fill="FFFFFF"/>
      <w:spacing w:before="240" w:after="2280" w:line="211" w:lineRule="exact"/>
    </w:pPr>
    <w:rPr>
      <w:rFonts w:ascii="Trebuchet MS" w:hAnsi="Trebuchet MS" w:cs="Trebuchet MS"/>
      <w:b/>
      <w:bCs/>
      <w:sz w:val="15"/>
      <w:szCs w:val="15"/>
    </w:rPr>
  </w:style>
  <w:style w:type="character" w:customStyle="1" w:styleId="BodytextItalic">
    <w:name w:val="Body text + Italic"/>
    <w:rsid w:val="00832199"/>
    <w:rPr>
      <w:rFonts w:ascii="Times New Roman" w:hAnsi="Times New Roman" w:cs="Times New Roman"/>
      <w:i/>
      <w:iCs/>
      <w:sz w:val="27"/>
      <w:szCs w:val="27"/>
      <w:shd w:val="clear" w:color="auto" w:fill="FFFFFF"/>
    </w:rPr>
  </w:style>
  <w:style w:type="character" w:customStyle="1" w:styleId="BodytextSpacing1pt">
    <w:name w:val="Body text + Spacing 1 pt"/>
    <w:uiPriority w:val="99"/>
    <w:rsid w:val="00832199"/>
    <w:rPr>
      <w:rFonts w:ascii="Times New Roman" w:hAnsi="Times New Roman" w:cs="Times New Roman"/>
      <w:spacing w:val="30"/>
      <w:sz w:val="27"/>
      <w:szCs w:val="27"/>
      <w:shd w:val="clear" w:color="auto" w:fill="FFFFFF"/>
    </w:rPr>
  </w:style>
  <w:style w:type="paragraph" w:styleId="Title">
    <w:name w:val="Title"/>
    <w:basedOn w:val="Normal"/>
    <w:link w:val="TitleChar1"/>
    <w:qFormat/>
    <w:rsid w:val="008A7A93"/>
    <w:pPr>
      <w:tabs>
        <w:tab w:val="left" w:pos="0"/>
        <w:tab w:val="left" w:pos="357"/>
        <w:tab w:val="left" w:pos="459"/>
        <w:tab w:val="left" w:pos="567"/>
      </w:tabs>
      <w:spacing w:line="340" w:lineRule="exact"/>
      <w:jc w:val="center"/>
    </w:pPr>
    <w:rPr>
      <w:rFonts w:eastAsia="Times New Roman"/>
      <w:b/>
      <w:color w:val="000000" w:themeColor="text1"/>
    </w:rPr>
  </w:style>
  <w:style w:type="character" w:customStyle="1" w:styleId="TitleChar1">
    <w:name w:val="Title Char1"/>
    <w:link w:val="Title"/>
    <w:rsid w:val="008A7A93"/>
    <w:rPr>
      <w:rFonts w:ascii="Times New Roman" w:eastAsia="Times New Roman" w:hAnsi="Times New Roman" w:cs="Times New Roman"/>
      <w:b/>
      <w:color w:val="000000" w:themeColor="text1"/>
    </w:rPr>
  </w:style>
  <w:style w:type="character" w:customStyle="1" w:styleId="TitleChar">
    <w:name w:val="Title Char"/>
    <w:basedOn w:val="DefaultParagraphFont"/>
    <w:rsid w:val="008F2112"/>
    <w:rPr>
      <w:rFonts w:asciiTheme="majorHAnsi" w:eastAsiaTheme="majorEastAsia" w:hAnsiTheme="majorHAnsi" w:cstheme="majorBidi"/>
      <w:color w:val="17365D" w:themeColor="text2" w:themeShade="BF"/>
      <w:spacing w:val="5"/>
      <w:kern w:val="28"/>
      <w:sz w:val="52"/>
      <w:szCs w:val="52"/>
    </w:rPr>
  </w:style>
  <w:style w:type="paragraph" w:styleId="BodyText20">
    <w:name w:val="Body Text 2"/>
    <w:basedOn w:val="Normal"/>
    <w:link w:val="BodyText2Char"/>
    <w:uiPriority w:val="99"/>
    <w:semiHidden/>
    <w:unhideWhenUsed/>
    <w:rsid w:val="00014551"/>
    <w:pPr>
      <w:spacing w:after="120" w:line="480" w:lineRule="auto"/>
    </w:pPr>
  </w:style>
  <w:style w:type="character" w:customStyle="1" w:styleId="BodyText2Char">
    <w:name w:val="Body Text 2 Char"/>
    <w:basedOn w:val="DefaultParagraphFont"/>
    <w:link w:val="BodyText20"/>
    <w:uiPriority w:val="99"/>
    <w:semiHidden/>
    <w:rsid w:val="00014551"/>
  </w:style>
  <w:style w:type="table" w:customStyle="1" w:styleId="TableGrid1">
    <w:name w:val="Table Grid1"/>
    <w:basedOn w:val="TableNormal"/>
    <w:next w:val="TableGrid"/>
    <w:uiPriority w:val="39"/>
    <w:rsid w:val="00963D4C"/>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F22A5"/>
    <w:rPr>
      <w:sz w:val="16"/>
      <w:szCs w:val="16"/>
    </w:rPr>
  </w:style>
  <w:style w:type="paragraph" w:styleId="CommentText">
    <w:name w:val="annotation text"/>
    <w:basedOn w:val="Normal"/>
    <w:link w:val="CommentTextChar"/>
    <w:uiPriority w:val="99"/>
    <w:unhideWhenUsed/>
    <w:rsid w:val="008F22A5"/>
    <w:pPr>
      <w:spacing w:line="240" w:lineRule="auto"/>
    </w:pPr>
    <w:rPr>
      <w:sz w:val="20"/>
      <w:szCs w:val="20"/>
    </w:rPr>
  </w:style>
  <w:style w:type="character" w:customStyle="1" w:styleId="CommentTextChar">
    <w:name w:val="Comment Text Char"/>
    <w:basedOn w:val="DefaultParagraphFont"/>
    <w:link w:val="CommentText"/>
    <w:uiPriority w:val="99"/>
    <w:rsid w:val="008F22A5"/>
    <w:rPr>
      <w:sz w:val="20"/>
      <w:szCs w:val="20"/>
    </w:rPr>
  </w:style>
  <w:style w:type="paragraph" w:styleId="CommentSubject">
    <w:name w:val="annotation subject"/>
    <w:basedOn w:val="CommentText"/>
    <w:next w:val="CommentText"/>
    <w:link w:val="CommentSubjectChar"/>
    <w:uiPriority w:val="99"/>
    <w:semiHidden/>
    <w:unhideWhenUsed/>
    <w:rsid w:val="008F22A5"/>
    <w:rPr>
      <w:b/>
      <w:bCs/>
    </w:rPr>
  </w:style>
  <w:style w:type="character" w:customStyle="1" w:styleId="CommentSubjectChar">
    <w:name w:val="Comment Subject Char"/>
    <w:basedOn w:val="CommentTextChar"/>
    <w:link w:val="CommentSubject"/>
    <w:uiPriority w:val="99"/>
    <w:semiHidden/>
    <w:rsid w:val="008F22A5"/>
    <w:rPr>
      <w:b/>
      <w:bCs/>
      <w:sz w:val="20"/>
      <w:szCs w:val="20"/>
    </w:rPr>
  </w:style>
  <w:style w:type="character" w:customStyle="1" w:styleId="cf01">
    <w:name w:val="cf01"/>
    <w:basedOn w:val="DefaultParagraphFont"/>
    <w:rsid w:val="00B71C7A"/>
    <w:rPr>
      <w:rFonts w:ascii="Segoe UI" w:hAnsi="Segoe UI" w:cs="Segoe UI" w:hint="default"/>
      <w:sz w:val="18"/>
      <w:szCs w:val="18"/>
    </w:rPr>
  </w:style>
  <w:style w:type="paragraph" w:customStyle="1" w:styleId="a">
    <w:name w:val="a"/>
    <w:basedOn w:val="Heading1"/>
    <w:link w:val="aChar"/>
    <w:qFormat/>
    <w:rsid w:val="006F0088"/>
    <w:rPr>
      <w:lang w:val="vi-VN"/>
    </w:rPr>
  </w:style>
  <w:style w:type="paragraph" w:customStyle="1" w:styleId="a1">
    <w:name w:val="a1"/>
    <w:basedOn w:val="Heading1"/>
    <w:link w:val="a1Char"/>
    <w:qFormat/>
    <w:rsid w:val="006F0088"/>
    <w:rPr>
      <w:szCs w:val="28"/>
      <w:lang w:val="vi-VN" w:eastAsia="vi-VN"/>
    </w:rPr>
  </w:style>
  <w:style w:type="character" w:customStyle="1" w:styleId="aChar">
    <w:name w:val="a Char"/>
    <w:basedOn w:val="Heading1Char"/>
    <w:link w:val="a"/>
    <w:rsid w:val="006F0088"/>
    <w:rPr>
      <w:rFonts w:ascii="Times New Roman" w:eastAsia="Times New Roman" w:hAnsi="Times New Roman" w:cs="Times New Roman"/>
      <w:b/>
      <w:noProof/>
      <w:spacing w:val="4"/>
      <w:lang w:val="vi-VN"/>
    </w:rPr>
  </w:style>
  <w:style w:type="paragraph" w:customStyle="1" w:styleId="a2">
    <w:name w:val="a2"/>
    <w:basedOn w:val="Heading2"/>
    <w:link w:val="a2Char"/>
    <w:qFormat/>
    <w:rsid w:val="006F0088"/>
    <w:rPr>
      <w:rFonts w:ascii="Times New Roman Bold" w:hAnsi="Times New Roman Bold"/>
      <w:lang w:val="vi-VN" w:eastAsia="vi-VN"/>
    </w:rPr>
  </w:style>
  <w:style w:type="character" w:customStyle="1" w:styleId="a1Char">
    <w:name w:val="a1 Char"/>
    <w:basedOn w:val="Heading1Char"/>
    <w:link w:val="a1"/>
    <w:rsid w:val="006F0088"/>
    <w:rPr>
      <w:rFonts w:ascii="Times New Roman" w:eastAsia="Times New Roman" w:hAnsi="Times New Roman" w:cs="Times New Roman"/>
      <w:b/>
      <w:noProof/>
      <w:spacing w:val="4"/>
      <w:szCs w:val="28"/>
      <w:lang w:val="vi-VN" w:eastAsia="vi-VN"/>
    </w:rPr>
  </w:style>
  <w:style w:type="paragraph" w:customStyle="1" w:styleId="ahinh">
    <w:name w:val="ahinh"/>
    <w:basedOn w:val="Normal"/>
    <w:link w:val="ahinhChar"/>
    <w:qFormat/>
    <w:rsid w:val="00F01291"/>
    <w:pPr>
      <w:ind w:right="198" w:firstLine="426"/>
      <w:jc w:val="center"/>
    </w:pPr>
    <w:rPr>
      <w:b/>
      <w:bCs/>
    </w:rPr>
  </w:style>
  <w:style w:type="character" w:customStyle="1" w:styleId="a2Char">
    <w:name w:val="a2 Char"/>
    <w:basedOn w:val="Heading2Char"/>
    <w:link w:val="a2"/>
    <w:rsid w:val="006F0088"/>
    <w:rPr>
      <w:rFonts w:ascii="Times New Roman Bold" w:eastAsia="Times New Roman" w:hAnsi="Times New Roman Bold" w:cs="Times New Roman"/>
      <w:b/>
      <w:iCs/>
      <w:noProof/>
      <w:spacing w:val="4"/>
      <w:lang w:val="vi-VN" w:eastAsia="vi-VN"/>
    </w:rPr>
  </w:style>
  <w:style w:type="paragraph" w:customStyle="1" w:styleId="abang">
    <w:name w:val="abang"/>
    <w:basedOn w:val="Normal"/>
    <w:link w:val="abangChar"/>
    <w:qFormat/>
    <w:rsid w:val="00BB7B56"/>
    <w:pPr>
      <w:ind w:firstLine="0"/>
      <w:jc w:val="center"/>
    </w:pPr>
    <w:rPr>
      <w:b/>
      <w:bCs/>
    </w:rPr>
  </w:style>
  <w:style w:type="character" w:customStyle="1" w:styleId="ahinhChar">
    <w:name w:val="ahinh Char"/>
    <w:basedOn w:val="Heading1Char"/>
    <w:link w:val="ahinh"/>
    <w:rsid w:val="00F01291"/>
    <w:rPr>
      <w:rFonts w:ascii="Times New Roman" w:eastAsia="Times New Roman" w:hAnsi="Times New Roman" w:cs="Times New Roman"/>
      <w:b/>
      <w:bCs/>
      <w:noProof/>
      <w:spacing w:val="4"/>
      <w:lang w:val="es-ES"/>
    </w:rPr>
  </w:style>
  <w:style w:type="character" w:customStyle="1" w:styleId="abangChar">
    <w:name w:val="abang Char"/>
    <w:basedOn w:val="Heading1Char"/>
    <w:link w:val="abang"/>
    <w:rsid w:val="00BB7B56"/>
    <w:rPr>
      <w:rFonts w:ascii="Times New Roman" w:eastAsia="Times New Roman" w:hAnsi="Times New Roman" w:cs="Times New Roman"/>
      <w:b/>
      <w:bCs/>
      <w:noProof/>
      <w:spacing w:val="4"/>
      <w:lang w:val="es-ES"/>
    </w:rPr>
  </w:style>
  <w:style w:type="paragraph" w:styleId="BodyTextIndent3">
    <w:name w:val="Body Text Indent 3"/>
    <w:basedOn w:val="Normal"/>
    <w:link w:val="BodyTextIndent3Char"/>
    <w:uiPriority w:val="99"/>
    <w:unhideWhenUsed/>
    <w:rsid w:val="00B817DB"/>
    <w:pPr>
      <w:spacing w:after="120"/>
      <w:ind w:left="360"/>
    </w:pPr>
    <w:rPr>
      <w:sz w:val="16"/>
      <w:szCs w:val="16"/>
    </w:rPr>
  </w:style>
  <w:style w:type="character" w:customStyle="1" w:styleId="BodyTextIndent3Char">
    <w:name w:val="Body Text Indent 3 Char"/>
    <w:basedOn w:val="DefaultParagraphFont"/>
    <w:link w:val="BodyTextIndent3"/>
    <w:uiPriority w:val="99"/>
    <w:rsid w:val="00B817DB"/>
    <w:rPr>
      <w:sz w:val="16"/>
      <w:szCs w:val="16"/>
    </w:rPr>
  </w:style>
  <w:style w:type="character" w:customStyle="1" w:styleId="Heading5Char">
    <w:name w:val="Heading 5 Char"/>
    <w:basedOn w:val="DefaultParagraphFont"/>
    <w:link w:val="Heading5"/>
    <w:uiPriority w:val="9"/>
    <w:rsid w:val="00820108"/>
    <w:rPr>
      <w:rFonts w:ascii="Cambria" w:eastAsia="Times New Roman" w:hAnsi="Cambria" w:cs="Times New Roman"/>
      <w:color w:val="365F91"/>
      <w:sz w:val="28"/>
      <w:szCs w:val="28"/>
      <w:lang w:val="vi-VN"/>
    </w:rPr>
  </w:style>
  <w:style w:type="character" w:customStyle="1" w:styleId="Heading6Char">
    <w:name w:val="Heading 6 Char"/>
    <w:basedOn w:val="DefaultParagraphFont"/>
    <w:link w:val="Heading6"/>
    <w:uiPriority w:val="9"/>
    <w:rsid w:val="00820108"/>
    <w:rPr>
      <w:rFonts w:ascii="Cambria" w:eastAsia="Times New Roman" w:hAnsi="Cambria" w:cs="Times New Roman"/>
      <w:color w:val="243F60"/>
      <w:sz w:val="28"/>
      <w:szCs w:val="28"/>
      <w:lang w:val="vi-VN"/>
    </w:rPr>
  </w:style>
  <w:style w:type="character" w:customStyle="1" w:styleId="Heading7Char">
    <w:name w:val="Heading 7 Char"/>
    <w:basedOn w:val="DefaultParagraphFont"/>
    <w:link w:val="Heading7"/>
    <w:uiPriority w:val="9"/>
    <w:rsid w:val="00820108"/>
    <w:rPr>
      <w:rFonts w:ascii="Cambria" w:eastAsia="Times New Roman" w:hAnsi="Cambria" w:cs="Times New Roman"/>
      <w:i/>
      <w:iCs/>
      <w:color w:val="243F60"/>
      <w:sz w:val="28"/>
      <w:szCs w:val="28"/>
      <w:lang w:val="vi-VN"/>
    </w:rPr>
  </w:style>
  <w:style w:type="character" w:customStyle="1" w:styleId="Heading8Char">
    <w:name w:val="Heading 8 Char"/>
    <w:basedOn w:val="DefaultParagraphFont"/>
    <w:link w:val="Heading8"/>
    <w:uiPriority w:val="9"/>
    <w:rsid w:val="00820108"/>
    <w:rPr>
      <w:rFonts w:ascii="Cambria" w:eastAsia="Times New Roman" w:hAnsi="Cambria" w:cs="Times New Roman"/>
      <w:color w:val="272727"/>
      <w:sz w:val="21"/>
      <w:szCs w:val="21"/>
      <w:lang w:val="vi-VN"/>
    </w:rPr>
  </w:style>
  <w:style w:type="character" w:customStyle="1" w:styleId="Heading9Char">
    <w:name w:val="Heading 9 Char"/>
    <w:basedOn w:val="DefaultParagraphFont"/>
    <w:link w:val="Heading9"/>
    <w:uiPriority w:val="9"/>
    <w:rsid w:val="00820108"/>
    <w:rPr>
      <w:rFonts w:ascii="Cambria" w:eastAsia="Times New Roman" w:hAnsi="Cambria" w:cs="Times New Roman"/>
      <w:i/>
      <w:iCs/>
      <w:color w:val="272727"/>
      <w:sz w:val="21"/>
      <w:szCs w:val="21"/>
      <w:lang w:val="vi-VN"/>
    </w:rPr>
  </w:style>
  <w:style w:type="paragraph" w:customStyle="1" w:styleId="A10">
    <w:name w:val="A1"/>
    <w:basedOn w:val="Heading2"/>
    <w:link w:val="A1Char0"/>
    <w:rsid w:val="00820108"/>
    <w:pPr>
      <w:keepLines/>
    </w:pPr>
    <w:rPr>
      <w:i/>
      <w:color w:val="000000" w:themeColor="text1"/>
      <w:szCs w:val="28"/>
    </w:rPr>
  </w:style>
  <w:style w:type="paragraph" w:customStyle="1" w:styleId="A20">
    <w:name w:val="A2"/>
    <w:basedOn w:val="Heading3"/>
    <w:link w:val="A2Char0"/>
    <w:rsid w:val="00820108"/>
    <w:pPr>
      <w:keepLines/>
    </w:pPr>
    <w:rPr>
      <w:b w:val="0"/>
      <w:i w:val="0"/>
      <w:color w:val="000000" w:themeColor="text1"/>
      <w:lang w:val="en-GB"/>
    </w:rPr>
  </w:style>
  <w:style w:type="character" w:customStyle="1" w:styleId="A1Char0">
    <w:name w:val="A1 Char"/>
    <w:basedOn w:val="DefaultParagraphFont"/>
    <w:link w:val="A10"/>
    <w:rsid w:val="00820108"/>
    <w:rPr>
      <w:rFonts w:ascii="Times New Roman" w:eastAsia="Times New Roman" w:hAnsi="Times New Roman" w:cs="Times New Roman"/>
      <w:b/>
      <w:i/>
      <w:iCs/>
      <w:color w:val="000000" w:themeColor="text1"/>
      <w:szCs w:val="28"/>
    </w:rPr>
  </w:style>
  <w:style w:type="character" w:customStyle="1" w:styleId="A2Char0">
    <w:name w:val="A2 Char"/>
    <w:basedOn w:val="Heading3Char"/>
    <w:link w:val="A20"/>
    <w:rsid w:val="00820108"/>
    <w:rPr>
      <w:rFonts w:ascii="Times New Roman" w:eastAsia="Times New Roman" w:hAnsi="Times New Roman" w:cs="Times New Roman"/>
      <w:b w:val="0"/>
      <w:bCs/>
      <w:i w:val="0"/>
      <w:noProof/>
      <w:color w:val="000000" w:themeColor="text1"/>
      <w:spacing w:val="4"/>
      <w:lang w:val="en-GB"/>
    </w:rPr>
  </w:style>
  <w:style w:type="paragraph" w:customStyle="1" w:styleId="p">
    <w:name w:val="p"/>
    <w:basedOn w:val="Normal"/>
    <w:rsid w:val="00820108"/>
    <w:pPr>
      <w:spacing w:before="100" w:beforeAutospacing="1" w:after="100" w:afterAutospacing="1" w:line="240" w:lineRule="auto"/>
    </w:pPr>
    <w:rPr>
      <w:rFonts w:eastAsia="Times New Roman"/>
      <w:sz w:val="24"/>
      <w:szCs w:val="24"/>
      <w:lang w:val="en-GB" w:eastAsia="en-GB"/>
    </w:rPr>
  </w:style>
  <w:style w:type="paragraph" w:customStyle="1" w:styleId="A0">
    <w:name w:val="A"/>
    <w:basedOn w:val="Heading1"/>
    <w:link w:val="AChar0"/>
    <w:rsid w:val="00820108"/>
    <w:pPr>
      <w:tabs>
        <w:tab w:val="left" w:pos="9072"/>
        <w:tab w:val="left" w:pos="9356"/>
      </w:tabs>
    </w:pPr>
    <w:rPr>
      <w:rFonts w:cs="Arial"/>
      <w:bCs/>
      <w:iCs/>
      <w:color w:val="000000" w:themeColor="text1"/>
      <w:spacing w:val="-4"/>
      <w:position w:val="-4"/>
      <w:szCs w:val="28"/>
    </w:rPr>
  </w:style>
  <w:style w:type="character" w:customStyle="1" w:styleId="AChar0">
    <w:name w:val="A Char"/>
    <w:basedOn w:val="Heading1Char"/>
    <w:link w:val="A0"/>
    <w:rsid w:val="00820108"/>
    <w:rPr>
      <w:rFonts w:ascii="Times New Roman" w:eastAsia="Times New Roman" w:hAnsi="Times New Roman" w:cs="Arial"/>
      <w:b/>
      <w:bCs/>
      <w:iCs/>
      <w:noProof/>
      <w:color w:val="000000" w:themeColor="text1"/>
      <w:spacing w:val="-4"/>
      <w:position w:val="-4"/>
      <w:szCs w:val="28"/>
      <w:lang w:val="es-ES"/>
    </w:rPr>
  </w:style>
  <w:style w:type="paragraph" w:customStyle="1" w:styleId="1">
    <w:name w:val="1"/>
    <w:basedOn w:val="Normal"/>
    <w:rsid w:val="00270DC4"/>
    <w:pPr>
      <w:spacing w:before="120" w:after="120" w:line="408" w:lineRule="auto"/>
      <w:jc w:val="center"/>
    </w:pPr>
    <w:rPr>
      <w:rFonts w:eastAsia="Times New Roman"/>
      <w:b/>
      <w:sz w:val="28"/>
      <w:szCs w:val="28"/>
    </w:rPr>
  </w:style>
  <w:style w:type="character" w:customStyle="1" w:styleId="ListParagraphChar">
    <w:name w:val="List Paragraph Char"/>
    <w:link w:val="ListParagraph"/>
    <w:uiPriority w:val="34"/>
    <w:locked/>
    <w:rsid w:val="003D06BD"/>
  </w:style>
  <w:style w:type="paragraph" w:customStyle="1" w:styleId="Nguontrichdan">
    <w:name w:val="Nguon trich dan"/>
    <w:basedOn w:val="Normal"/>
    <w:qFormat/>
    <w:rsid w:val="00F01291"/>
    <w:pPr>
      <w:ind w:right="482"/>
      <w:jc w:val="center"/>
    </w:pPr>
    <w:rPr>
      <w:rFonts w:eastAsia="Times New Roman" w:cs="Arial"/>
      <w:i/>
      <w:iCs/>
      <w:lang w:val="da-DK"/>
    </w:rPr>
  </w:style>
  <w:style w:type="character" w:styleId="PageNumber">
    <w:name w:val="page number"/>
    <w:basedOn w:val="DefaultParagraphFont"/>
    <w:uiPriority w:val="99"/>
    <w:semiHidden/>
    <w:unhideWhenUsed/>
    <w:rsid w:val="00A33435"/>
  </w:style>
  <w:style w:type="table" w:customStyle="1" w:styleId="TableGrid3">
    <w:name w:val="Table Grid3"/>
    <w:basedOn w:val="TableNormal"/>
    <w:next w:val="TableGrid"/>
    <w:uiPriority w:val="39"/>
    <w:rsid w:val="00BB7B56"/>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hanxet-innghieng">
    <w:name w:val="nhan xet - in nghieng"/>
    <w:basedOn w:val="Normal"/>
    <w:autoRedefine/>
    <w:qFormat/>
    <w:rsid w:val="0057342E"/>
    <w:pPr>
      <w:spacing w:line="312" w:lineRule="auto"/>
      <w:ind w:firstLine="0"/>
    </w:pPr>
    <w:rPr>
      <w:rFonts w:eastAsia="Calibri"/>
      <w:b/>
      <w:i/>
      <w:iCs/>
      <w:sz w:val="28"/>
      <w:szCs w:val="28"/>
      <w:shd w:val="clear" w:color="auto" w:fill="auto"/>
    </w:rPr>
  </w:style>
  <w:style w:type="table" w:customStyle="1" w:styleId="TableGrid12">
    <w:name w:val="Table Grid12"/>
    <w:basedOn w:val="TableNormal"/>
    <w:next w:val="TableGrid"/>
    <w:rsid w:val="0057342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1">
    <w:name w:val="a2."/>
    <w:basedOn w:val="ListParagraph"/>
    <w:link w:val="a2Char1"/>
    <w:qFormat/>
    <w:rsid w:val="00471486"/>
    <w:pPr>
      <w:spacing w:line="360" w:lineRule="auto"/>
      <w:ind w:left="0" w:firstLine="0"/>
      <w:contextualSpacing w:val="0"/>
      <w:outlineLvl w:val="2"/>
    </w:pPr>
    <w:rPr>
      <w:b/>
      <w:bCs/>
      <w:i/>
      <w:color w:val="000000" w:themeColor="text1"/>
      <w:sz w:val="28"/>
      <w:szCs w:val="28"/>
    </w:rPr>
  </w:style>
  <w:style w:type="character" w:customStyle="1" w:styleId="a2Char1">
    <w:name w:val="a2. Char"/>
    <w:basedOn w:val="ListParagraphChar"/>
    <w:link w:val="a21"/>
    <w:rsid w:val="00471486"/>
    <w:rPr>
      <w:rFonts w:ascii="Times New Roman" w:hAnsi="Times New Roman" w:cs="Times New Roman"/>
      <w:b/>
      <w:bCs/>
      <w:i/>
      <w:color w:val="000000" w:themeColor="text1"/>
      <w:sz w:val="28"/>
      <w:szCs w:val="28"/>
    </w:rPr>
  </w:style>
  <w:style w:type="character" w:customStyle="1" w:styleId="DefaultChar">
    <w:name w:val="Default Char"/>
    <w:link w:val="Default"/>
    <w:locked/>
    <w:rsid w:val="0082249E"/>
    <w:rPr>
      <w:color w:val="000000"/>
      <w:sz w:val="24"/>
      <w:szCs w:val="24"/>
    </w:rPr>
  </w:style>
  <w:style w:type="paragraph" w:customStyle="1" w:styleId="Default">
    <w:name w:val="Default"/>
    <w:link w:val="DefaultChar"/>
    <w:rsid w:val="0082249E"/>
    <w:pPr>
      <w:autoSpaceDE w:val="0"/>
      <w:autoSpaceDN w:val="0"/>
      <w:adjustRightInd w:val="0"/>
      <w:spacing w:after="0" w:line="240" w:lineRule="auto"/>
    </w:pPr>
    <w:rPr>
      <w:color w:val="000000"/>
      <w:sz w:val="24"/>
      <w:szCs w:val="24"/>
    </w:rPr>
  </w:style>
  <w:style w:type="paragraph" w:customStyle="1" w:styleId="abieudo">
    <w:name w:val="abieudo"/>
    <w:basedOn w:val="Normal"/>
    <w:link w:val="abieudoChar"/>
    <w:qFormat/>
    <w:rsid w:val="00B359D3"/>
    <w:pPr>
      <w:autoSpaceDE w:val="0"/>
      <w:autoSpaceDN w:val="0"/>
      <w:adjustRightInd w:val="0"/>
      <w:spacing w:line="360" w:lineRule="auto"/>
      <w:ind w:firstLine="0"/>
      <w:jc w:val="center"/>
    </w:pPr>
    <w:rPr>
      <w:rFonts w:eastAsia="Calibri"/>
      <w:b/>
      <w:i/>
      <w:sz w:val="28"/>
      <w:szCs w:val="28"/>
      <w:shd w:val="clear" w:color="auto" w:fill="auto"/>
    </w:rPr>
  </w:style>
  <w:style w:type="character" w:customStyle="1" w:styleId="abieudoChar">
    <w:name w:val="abieudo Char"/>
    <w:link w:val="abieudo"/>
    <w:rsid w:val="00B359D3"/>
    <w:rPr>
      <w:rFonts w:ascii="Times New Roman" w:eastAsia="Calibri" w:hAnsi="Times New Roman" w:cs="Times New Roman"/>
      <w:b/>
      <w:i/>
      <w:sz w:val="28"/>
      <w:szCs w:val="28"/>
    </w:rPr>
  </w:style>
  <w:style w:type="character" w:customStyle="1" w:styleId="NormalWebChar">
    <w:name w:val="Normal (Web) Char"/>
    <w:link w:val="NormalWeb"/>
    <w:uiPriority w:val="99"/>
    <w:rsid w:val="007D7628"/>
    <w:rPr>
      <w:rFonts w:ascii="Times New Roman" w:eastAsia="Times New Roman" w:hAnsi="Times New Roman" w:cs="Times New Roman"/>
      <w:sz w:val="24"/>
      <w:szCs w:val="24"/>
    </w:rPr>
  </w:style>
  <w:style w:type="paragraph" w:customStyle="1" w:styleId="NgocAnh2">
    <w:name w:val="Ngoc Anh 2"/>
    <w:basedOn w:val="Heading2"/>
    <w:link w:val="NgocAnh2Char"/>
    <w:qFormat/>
    <w:rsid w:val="002A076C"/>
    <w:pPr>
      <w:keepLines/>
      <w:numPr>
        <w:ilvl w:val="0"/>
        <w:numId w:val="0"/>
      </w:numPr>
      <w:spacing w:line="360" w:lineRule="auto"/>
      <w:jc w:val="left"/>
    </w:pPr>
    <w:rPr>
      <w:iCs w:val="0"/>
      <w:noProof w:val="0"/>
      <w:color w:val="000000"/>
      <w:sz w:val="36"/>
      <w:szCs w:val="28"/>
      <w:shd w:val="clear" w:color="auto" w:fill="auto"/>
    </w:rPr>
  </w:style>
  <w:style w:type="character" w:customStyle="1" w:styleId="NgocAnh2Char">
    <w:name w:val="Ngoc Anh 2 Char"/>
    <w:link w:val="NgocAnh2"/>
    <w:rsid w:val="002A076C"/>
    <w:rPr>
      <w:rFonts w:ascii="Times New Roman" w:eastAsia="Times New Roman" w:hAnsi="Times New Roman" w:cs="Times New Roman"/>
      <w:b/>
      <w:color w:val="000000"/>
      <w:sz w:val="36"/>
      <w:szCs w:val="28"/>
    </w:rPr>
  </w:style>
  <w:style w:type="paragraph" w:customStyle="1" w:styleId="NgocAnh3">
    <w:name w:val="Ngoc Anh 3"/>
    <w:basedOn w:val="ListParagraph"/>
    <w:link w:val="NgocAnh3Char"/>
    <w:qFormat/>
    <w:rsid w:val="00A85033"/>
    <w:pPr>
      <w:numPr>
        <w:ilvl w:val="2"/>
        <w:numId w:val="26"/>
      </w:numPr>
      <w:pBdr>
        <w:top w:val="nil"/>
        <w:left w:val="nil"/>
        <w:bottom w:val="nil"/>
        <w:right w:val="nil"/>
        <w:between w:val="nil"/>
      </w:pBdr>
      <w:spacing w:line="360" w:lineRule="auto"/>
      <w:outlineLvl w:val="2"/>
    </w:pPr>
    <w:rPr>
      <w:rFonts w:eastAsia="Times New Roman"/>
      <w:b/>
      <w:i/>
      <w:color w:val="000000"/>
      <w:sz w:val="28"/>
      <w:szCs w:val="28"/>
      <w:shd w:val="clear" w:color="auto" w:fill="auto"/>
    </w:rPr>
  </w:style>
  <w:style w:type="character" w:customStyle="1" w:styleId="NgocAnh3Char">
    <w:name w:val="Ngoc Anh 3 Char"/>
    <w:link w:val="NgocAnh3"/>
    <w:rsid w:val="00A85033"/>
    <w:rPr>
      <w:rFonts w:ascii="Times New Roman" w:eastAsia="Times New Roman" w:hAnsi="Times New Roman" w:cs="Times New Roman"/>
      <w:b/>
      <w:i/>
      <w:color w:val="000000"/>
      <w:sz w:val="28"/>
      <w:szCs w:val="28"/>
    </w:rPr>
  </w:style>
  <w:style w:type="paragraph" w:customStyle="1" w:styleId="NgocAnh1">
    <w:name w:val="Ngoc Anh1"/>
    <w:basedOn w:val="Heading1"/>
    <w:link w:val="NgocAnh1Char"/>
    <w:qFormat/>
    <w:rsid w:val="00752E82"/>
    <w:pPr>
      <w:keepLines/>
      <w:numPr>
        <w:numId w:val="0"/>
      </w:numPr>
      <w:spacing w:line="360" w:lineRule="auto"/>
      <w:jc w:val="left"/>
    </w:pPr>
    <w:rPr>
      <w:rFonts w:eastAsia="Calibri"/>
      <w:noProof w:val="0"/>
      <w:color w:val="000000"/>
      <w:sz w:val="48"/>
      <w:szCs w:val="28"/>
      <w:shd w:val="clear" w:color="auto" w:fill="auto"/>
      <w:lang w:val="en-US"/>
    </w:rPr>
  </w:style>
  <w:style w:type="character" w:customStyle="1" w:styleId="NgocAnh1Char">
    <w:name w:val="Ngoc Anh1 Char"/>
    <w:link w:val="NgocAnh1"/>
    <w:rsid w:val="00752E82"/>
    <w:rPr>
      <w:rFonts w:ascii="Times New Roman" w:eastAsia="Calibri" w:hAnsi="Times New Roman" w:cs="Times New Roman"/>
      <w:b/>
      <w:color w:val="000000"/>
      <w:sz w:val="48"/>
      <w:szCs w:val="28"/>
    </w:rPr>
  </w:style>
  <w:style w:type="paragraph" w:customStyle="1" w:styleId="a3">
    <w:name w:val="a3"/>
    <w:basedOn w:val="Normal"/>
    <w:link w:val="a3Char"/>
    <w:qFormat/>
    <w:rsid w:val="00E64AF0"/>
    <w:pPr>
      <w:spacing w:line="360" w:lineRule="auto"/>
      <w:ind w:firstLine="0"/>
    </w:pPr>
    <w:rPr>
      <w:rFonts w:eastAsia="Calibri"/>
      <w:b/>
      <w:bCs/>
      <w:i/>
      <w:iCs/>
      <w:color w:val="000000"/>
      <w:sz w:val="28"/>
      <w:szCs w:val="28"/>
      <w:shd w:val="clear" w:color="auto" w:fill="auto"/>
      <w:lang w:val="vi-VN"/>
    </w:rPr>
  </w:style>
  <w:style w:type="character" w:customStyle="1" w:styleId="a3Char">
    <w:name w:val="a3 Char"/>
    <w:basedOn w:val="DefaultParagraphFont"/>
    <w:link w:val="a3"/>
    <w:rsid w:val="00E64AF0"/>
    <w:rPr>
      <w:rFonts w:ascii="Times New Roman" w:eastAsia="Calibri" w:hAnsi="Times New Roman" w:cs="Times New Roman"/>
      <w:b/>
      <w:bCs/>
      <w:i/>
      <w:iCs/>
      <w:color w:val="000000"/>
      <w:sz w:val="28"/>
      <w:szCs w:val="28"/>
      <w:lang w:val="vi-VN"/>
    </w:rPr>
  </w:style>
  <w:style w:type="paragraph" w:styleId="ListNumber2">
    <w:name w:val="List Number 2"/>
    <w:basedOn w:val="Normal"/>
    <w:uiPriority w:val="99"/>
    <w:unhideWhenUsed/>
    <w:rsid w:val="001111DE"/>
    <w:pPr>
      <w:numPr>
        <w:numId w:val="29"/>
      </w:numPr>
      <w:tabs>
        <w:tab w:val="clear" w:pos="720"/>
      </w:tabs>
      <w:spacing w:after="200"/>
      <w:ind w:left="432" w:hanging="432"/>
      <w:contextualSpacing/>
      <w:jc w:val="left"/>
    </w:pPr>
    <w:rPr>
      <w:rFonts w:eastAsia="Times New Roman"/>
      <w:sz w:val="24"/>
      <w:shd w:val="clear" w:color="auto" w:fill="auto"/>
    </w:rPr>
  </w:style>
  <w:style w:type="table" w:customStyle="1" w:styleId="TableGrid2">
    <w:name w:val="Table Grid2"/>
    <w:basedOn w:val="TableNormal"/>
    <w:next w:val="TableGrid"/>
    <w:uiPriority w:val="59"/>
    <w:rsid w:val="00742F1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981844">
      <w:bodyDiv w:val="1"/>
      <w:marLeft w:val="0"/>
      <w:marRight w:val="0"/>
      <w:marTop w:val="0"/>
      <w:marBottom w:val="0"/>
      <w:divBdr>
        <w:top w:val="none" w:sz="0" w:space="0" w:color="auto"/>
        <w:left w:val="none" w:sz="0" w:space="0" w:color="auto"/>
        <w:bottom w:val="none" w:sz="0" w:space="0" w:color="auto"/>
        <w:right w:val="none" w:sz="0" w:space="0" w:color="auto"/>
      </w:divBdr>
      <w:divsChild>
        <w:div w:id="259218410">
          <w:marLeft w:val="547"/>
          <w:marRight w:val="0"/>
          <w:marTop w:val="115"/>
          <w:marBottom w:val="0"/>
          <w:divBdr>
            <w:top w:val="none" w:sz="0" w:space="0" w:color="auto"/>
            <w:left w:val="none" w:sz="0" w:space="0" w:color="auto"/>
            <w:bottom w:val="none" w:sz="0" w:space="0" w:color="auto"/>
            <w:right w:val="none" w:sz="0" w:space="0" w:color="auto"/>
          </w:divBdr>
        </w:div>
        <w:div w:id="436296700">
          <w:marLeft w:val="547"/>
          <w:marRight w:val="0"/>
          <w:marTop w:val="115"/>
          <w:marBottom w:val="0"/>
          <w:divBdr>
            <w:top w:val="none" w:sz="0" w:space="0" w:color="auto"/>
            <w:left w:val="none" w:sz="0" w:space="0" w:color="auto"/>
            <w:bottom w:val="none" w:sz="0" w:space="0" w:color="auto"/>
            <w:right w:val="none" w:sz="0" w:space="0" w:color="auto"/>
          </w:divBdr>
        </w:div>
        <w:div w:id="1391270716">
          <w:marLeft w:val="547"/>
          <w:marRight w:val="0"/>
          <w:marTop w:val="115"/>
          <w:marBottom w:val="0"/>
          <w:divBdr>
            <w:top w:val="none" w:sz="0" w:space="0" w:color="auto"/>
            <w:left w:val="none" w:sz="0" w:space="0" w:color="auto"/>
            <w:bottom w:val="none" w:sz="0" w:space="0" w:color="auto"/>
            <w:right w:val="none" w:sz="0" w:space="0" w:color="auto"/>
          </w:divBdr>
        </w:div>
        <w:div w:id="1599407972">
          <w:marLeft w:val="547"/>
          <w:marRight w:val="0"/>
          <w:marTop w:val="115"/>
          <w:marBottom w:val="0"/>
          <w:divBdr>
            <w:top w:val="none" w:sz="0" w:space="0" w:color="auto"/>
            <w:left w:val="none" w:sz="0" w:space="0" w:color="auto"/>
            <w:bottom w:val="none" w:sz="0" w:space="0" w:color="auto"/>
            <w:right w:val="none" w:sz="0" w:space="0" w:color="auto"/>
          </w:divBdr>
        </w:div>
        <w:div w:id="2006398033">
          <w:marLeft w:val="547"/>
          <w:marRight w:val="0"/>
          <w:marTop w:val="115"/>
          <w:marBottom w:val="0"/>
          <w:divBdr>
            <w:top w:val="none" w:sz="0" w:space="0" w:color="auto"/>
            <w:left w:val="none" w:sz="0" w:space="0" w:color="auto"/>
            <w:bottom w:val="none" w:sz="0" w:space="0" w:color="auto"/>
            <w:right w:val="none" w:sz="0" w:space="0" w:color="auto"/>
          </w:divBdr>
        </w:div>
      </w:divsChild>
    </w:div>
    <w:div w:id="157156138">
      <w:bodyDiv w:val="1"/>
      <w:marLeft w:val="0"/>
      <w:marRight w:val="0"/>
      <w:marTop w:val="0"/>
      <w:marBottom w:val="0"/>
      <w:divBdr>
        <w:top w:val="none" w:sz="0" w:space="0" w:color="auto"/>
        <w:left w:val="none" w:sz="0" w:space="0" w:color="auto"/>
        <w:bottom w:val="none" w:sz="0" w:space="0" w:color="auto"/>
        <w:right w:val="none" w:sz="0" w:space="0" w:color="auto"/>
      </w:divBdr>
    </w:div>
    <w:div w:id="268777353">
      <w:bodyDiv w:val="1"/>
      <w:marLeft w:val="0"/>
      <w:marRight w:val="0"/>
      <w:marTop w:val="0"/>
      <w:marBottom w:val="0"/>
      <w:divBdr>
        <w:top w:val="none" w:sz="0" w:space="0" w:color="auto"/>
        <w:left w:val="none" w:sz="0" w:space="0" w:color="auto"/>
        <w:bottom w:val="none" w:sz="0" w:space="0" w:color="auto"/>
        <w:right w:val="none" w:sz="0" w:space="0" w:color="auto"/>
      </w:divBdr>
    </w:div>
    <w:div w:id="280764792">
      <w:bodyDiv w:val="1"/>
      <w:marLeft w:val="0"/>
      <w:marRight w:val="0"/>
      <w:marTop w:val="0"/>
      <w:marBottom w:val="0"/>
      <w:divBdr>
        <w:top w:val="none" w:sz="0" w:space="0" w:color="auto"/>
        <w:left w:val="none" w:sz="0" w:space="0" w:color="auto"/>
        <w:bottom w:val="none" w:sz="0" w:space="0" w:color="auto"/>
        <w:right w:val="none" w:sz="0" w:space="0" w:color="auto"/>
      </w:divBdr>
    </w:div>
    <w:div w:id="338193408">
      <w:bodyDiv w:val="1"/>
      <w:marLeft w:val="0"/>
      <w:marRight w:val="0"/>
      <w:marTop w:val="0"/>
      <w:marBottom w:val="0"/>
      <w:divBdr>
        <w:top w:val="none" w:sz="0" w:space="0" w:color="auto"/>
        <w:left w:val="none" w:sz="0" w:space="0" w:color="auto"/>
        <w:bottom w:val="none" w:sz="0" w:space="0" w:color="auto"/>
        <w:right w:val="none" w:sz="0" w:space="0" w:color="auto"/>
      </w:divBdr>
    </w:div>
    <w:div w:id="365108603">
      <w:bodyDiv w:val="1"/>
      <w:marLeft w:val="0"/>
      <w:marRight w:val="0"/>
      <w:marTop w:val="0"/>
      <w:marBottom w:val="0"/>
      <w:divBdr>
        <w:top w:val="none" w:sz="0" w:space="0" w:color="auto"/>
        <w:left w:val="none" w:sz="0" w:space="0" w:color="auto"/>
        <w:bottom w:val="none" w:sz="0" w:space="0" w:color="auto"/>
        <w:right w:val="none" w:sz="0" w:space="0" w:color="auto"/>
      </w:divBdr>
      <w:divsChild>
        <w:div w:id="416053113">
          <w:marLeft w:val="547"/>
          <w:marRight w:val="0"/>
          <w:marTop w:val="115"/>
          <w:marBottom w:val="0"/>
          <w:divBdr>
            <w:top w:val="none" w:sz="0" w:space="0" w:color="auto"/>
            <w:left w:val="none" w:sz="0" w:space="0" w:color="auto"/>
            <w:bottom w:val="none" w:sz="0" w:space="0" w:color="auto"/>
            <w:right w:val="none" w:sz="0" w:space="0" w:color="auto"/>
          </w:divBdr>
        </w:div>
        <w:div w:id="557739163">
          <w:marLeft w:val="547"/>
          <w:marRight w:val="0"/>
          <w:marTop w:val="115"/>
          <w:marBottom w:val="0"/>
          <w:divBdr>
            <w:top w:val="none" w:sz="0" w:space="0" w:color="auto"/>
            <w:left w:val="none" w:sz="0" w:space="0" w:color="auto"/>
            <w:bottom w:val="none" w:sz="0" w:space="0" w:color="auto"/>
            <w:right w:val="none" w:sz="0" w:space="0" w:color="auto"/>
          </w:divBdr>
        </w:div>
        <w:div w:id="663052262">
          <w:marLeft w:val="547"/>
          <w:marRight w:val="0"/>
          <w:marTop w:val="115"/>
          <w:marBottom w:val="0"/>
          <w:divBdr>
            <w:top w:val="none" w:sz="0" w:space="0" w:color="auto"/>
            <w:left w:val="none" w:sz="0" w:space="0" w:color="auto"/>
            <w:bottom w:val="none" w:sz="0" w:space="0" w:color="auto"/>
            <w:right w:val="none" w:sz="0" w:space="0" w:color="auto"/>
          </w:divBdr>
        </w:div>
        <w:div w:id="893930005">
          <w:marLeft w:val="547"/>
          <w:marRight w:val="0"/>
          <w:marTop w:val="115"/>
          <w:marBottom w:val="0"/>
          <w:divBdr>
            <w:top w:val="none" w:sz="0" w:space="0" w:color="auto"/>
            <w:left w:val="none" w:sz="0" w:space="0" w:color="auto"/>
            <w:bottom w:val="none" w:sz="0" w:space="0" w:color="auto"/>
            <w:right w:val="none" w:sz="0" w:space="0" w:color="auto"/>
          </w:divBdr>
        </w:div>
        <w:div w:id="1478768845">
          <w:marLeft w:val="547"/>
          <w:marRight w:val="0"/>
          <w:marTop w:val="115"/>
          <w:marBottom w:val="0"/>
          <w:divBdr>
            <w:top w:val="none" w:sz="0" w:space="0" w:color="auto"/>
            <w:left w:val="none" w:sz="0" w:space="0" w:color="auto"/>
            <w:bottom w:val="none" w:sz="0" w:space="0" w:color="auto"/>
            <w:right w:val="none" w:sz="0" w:space="0" w:color="auto"/>
          </w:divBdr>
        </w:div>
      </w:divsChild>
    </w:div>
    <w:div w:id="450054425">
      <w:bodyDiv w:val="1"/>
      <w:marLeft w:val="0"/>
      <w:marRight w:val="0"/>
      <w:marTop w:val="0"/>
      <w:marBottom w:val="0"/>
      <w:divBdr>
        <w:top w:val="none" w:sz="0" w:space="0" w:color="auto"/>
        <w:left w:val="none" w:sz="0" w:space="0" w:color="auto"/>
        <w:bottom w:val="none" w:sz="0" w:space="0" w:color="auto"/>
        <w:right w:val="none" w:sz="0" w:space="0" w:color="auto"/>
      </w:divBdr>
    </w:div>
    <w:div w:id="492992932">
      <w:bodyDiv w:val="1"/>
      <w:marLeft w:val="0"/>
      <w:marRight w:val="0"/>
      <w:marTop w:val="0"/>
      <w:marBottom w:val="0"/>
      <w:divBdr>
        <w:top w:val="none" w:sz="0" w:space="0" w:color="auto"/>
        <w:left w:val="none" w:sz="0" w:space="0" w:color="auto"/>
        <w:bottom w:val="none" w:sz="0" w:space="0" w:color="auto"/>
        <w:right w:val="none" w:sz="0" w:space="0" w:color="auto"/>
      </w:divBdr>
      <w:divsChild>
        <w:div w:id="769130948">
          <w:marLeft w:val="547"/>
          <w:marRight w:val="0"/>
          <w:marTop w:val="0"/>
          <w:marBottom w:val="0"/>
          <w:divBdr>
            <w:top w:val="none" w:sz="0" w:space="0" w:color="auto"/>
            <w:left w:val="none" w:sz="0" w:space="0" w:color="auto"/>
            <w:bottom w:val="none" w:sz="0" w:space="0" w:color="auto"/>
            <w:right w:val="none" w:sz="0" w:space="0" w:color="auto"/>
          </w:divBdr>
        </w:div>
        <w:div w:id="1247617717">
          <w:marLeft w:val="547"/>
          <w:marRight w:val="0"/>
          <w:marTop w:val="0"/>
          <w:marBottom w:val="0"/>
          <w:divBdr>
            <w:top w:val="none" w:sz="0" w:space="0" w:color="auto"/>
            <w:left w:val="none" w:sz="0" w:space="0" w:color="auto"/>
            <w:bottom w:val="none" w:sz="0" w:space="0" w:color="auto"/>
            <w:right w:val="none" w:sz="0" w:space="0" w:color="auto"/>
          </w:divBdr>
        </w:div>
      </w:divsChild>
    </w:div>
    <w:div w:id="554124779">
      <w:bodyDiv w:val="1"/>
      <w:marLeft w:val="0"/>
      <w:marRight w:val="0"/>
      <w:marTop w:val="0"/>
      <w:marBottom w:val="0"/>
      <w:divBdr>
        <w:top w:val="none" w:sz="0" w:space="0" w:color="auto"/>
        <w:left w:val="none" w:sz="0" w:space="0" w:color="auto"/>
        <w:bottom w:val="none" w:sz="0" w:space="0" w:color="auto"/>
        <w:right w:val="none" w:sz="0" w:space="0" w:color="auto"/>
      </w:divBdr>
      <w:divsChild>
        <w:div w:id="726533192">
          <w:marLeft w:val="547"/>
          <w:marRight w:val="0"/>
          <w:marTop w:val="0"/>
          <w:marBottom w:val="0"/>
          <w:divBdr>
            <w:top w:val="none" w:sz="0" w:space="0" w:color="auto"/>
            <w:left w:val="none" w:sz="0" w:space="0" w:color="auto"/>
            <w:bottom w:val="none" w:sz="0" w:space="0" w:color="auto"/>
            <w:right w:val="none" w:sz="0" w:space="0" w:color="auto"/>
          </w:divBdr>
        </w:div>
        <w:div w:id="1279532868">
          <w:marLeft w:val="547"/>
          <w:marRight w:val="0"/>
          <w:marTop w:val="0"/>
          <w:marBottom w:val="0"/>
          <w:divBdr>
            <w:top w:val="none" w:sz="0" w:space="0" w:color="auto"/>
            <w:left w:val="none" w:sz="0" w:space="0" w:color="auto"/>
            <w:bottom w:val="none" w:sz="0" w:space="0" w:color="auto"/>
            <w:right w:val="none" w:sz="0" w:space="0" w:color="auto"/>
          </w:divBdr>
        </w:div>
        <w:div w:id="1968851232">
          <w:marLeft w:val="547"/>
          <w:marRight w:val="0"/>
          <w:marTop w:val="0"/>
          <w:marBottom w:val="0"/>
          <w:divBdr>
            <w:top w:val="none" w:sz="0" w:space="0" w:color="auto"/>
            <w:left w:val="none" w:sz="0" w:space="0" w:color="auto"/>
            <w:bottom w:val="none" w:sz="0" w:space="0" w:color="auto"/>
            <w:right w:val="none" w:sz="0" w:space="0" w:color="auto"/>
          </w:divBdr>
        </w:div>
        <w:div w:id="2021269554">
          <w:marLeft w:val="547"/>
          <w:marRight w:val="0"/>
          <w:marTop w:val="0"/>
          <w:marBottom w:val="0"/>
          <w:divBdr>
            <w:top w:val="none" w:sz="0" w:space="0" w:color="auto"/>
            <w:left w:val="none" w:sz="0" w:space="0" w:color="auto"/>
            <w:bottom w:val="none" w:sz="0" w:space="0" w:color="auto"/>
            <w:right w:val="none" w:sz="0" w:space="0" w:color="auto"/>
          </w:divBdr>
        </w:div>
      </w:divsChild>
    </w:div>
    <w:div w:id="693649481">
      <w:bodyDiv w:val="1"/>
      <w:marLeft w:val="0"/>
      <w:marRight w:val="0"/>
      <w:marTop w:val="0"/>
      <w:marBottom w:val="0"/>
      <w:divBdr>
        <w:top w:val="none" w:sz="0" w:space="0" w:color="auto"/>
        <w:left w:val="none" w:sz="0" w:space="0" w:color="auto"/>
        <w:bottom w:val="none" w:sz="0" w:space="0" w:color="auto"/>
        <w:right w:val="none" w:sz="0" w:space="0" w:color="auto"/>
      </w:divBdr>
    </w:div>
    <w:div w:id="702095494">
      <w:bodyDiv w:val="1"/>
      <w:marLeft w:val="0"/>
      <w:marRight w:val="0"/>
      <w:marTop w:val="0"/>
      <w:marBottom w:val="0"/>
      <w:divBdr>
        <w:top w:val="none" w:sz="0" w:space="0" w:color="auto"/>
        <w:left w:val="none" w:sz="0" w:space="0" w:color="auto"/>
        <w:bottom w:val="none" w:sz="0" w:space="0" w:color="auto"/>
        <w:right w:val="none" w:sz="0" w:space="0" w:color="auto"/>
      </w:divBdr>
    </w:div>
    <w:div w:id="705373142">
      <w:bodyDiv w:val="1"/>
      <w:marLeft w:val="0"/>
      <w:marRight w:val="0"/>
      <w:marTop w:val="0"/>
      <w:marBottom w:val="0"/>
      <w:divBdr>
        <w:top w:val="none" w:sz="0" w:space="0" w:color="auto"/>
        <w:left w:val="none" w:sz="0" w:space="0" w:color="auto"/>
        <w:bottom w:val="none" w:sz="0" w:space="0" w:color="auto"/>
        <w:right w:val="none" w:sz="0" w:space="0" w:color="auto"/>
      </w:divBdr>
    </w:div>
    <w:div w:id="708458407">
      <w:bodyDiv w:val="1"/>
      <w:marLeft w:val="0"/>
      <w:marRight w:val="0"/>
      <w:marTop w:val="0"/>
      <w:marBottom w:val="0"/>
      <w:divBdr>
        <w:top w:val="none" w:sz="0" w:space="0" w:color="auto"/>
        <w:left w:val="none" w:sz="0" w:space="0" w:color="auto"/>
        <w:bottom w:val="none" w:sz="0" w:space="0" w:color="auto"/>
        <w:right w:val="none" w:sz="0" w:space="0" w:color="auto"/>
      </w:divBdr>
      <w:divsChild>
        <w:div w:id="1221550972">
          <w:marLeft w:val="547"/>
          <w:marRight w:val="0"/>
          <w:marTop w:val="115"/>
          <w:marBottom w:val="0"/>
          <w:divBdr>
            <w:top w:val="none" w:sz="0" w:space="0" w:color="auto"/>
            <w:left w:val="none" w:sz="0" w:space="0" w:color="auto"/>
            <w:bottom w:val="none" w:sz="0" w:space="0" w:color="auto"/>
            <w:right w:val="none" w:sz="0" w:space="0" w:color="auto"/>
          </w:divBdr>
        </w:div>
      </w:divsChild>
    </w:div>
    <w:div w:id="769737875">
      <w:bodyDiv w:val="1"/>
      <w:marLeft w:val="0"/>
      <w:marRight w:val="0"/>
      <w:marTop w:val="0"/>
      <w:marBottom w:val="0"/>
      <w:divBdr>
        <w:top w:val="none" w:sz="0" w:space="0" w:color="auto"/>
        <w:left w:val="none" w:sz="0" w:space="0" w:color="auto"/>
        <w:bottom w:val="none" w:sz="0" w:space="0" w:color="auto"/>
        <w:right w:val="none" w:sz="0" w:space="0" w:color="auto"/>
      </w:divBdr>
    </w:div>
    <w:div w:id="775903964">
      <w:bodyDiv w:val="1"/>
      <w:marLeft w:val="0"/>
      <w:marRight w:val="0"/>
      <w:marTop w:val="0"/>
      <w:marBottom w:val="0"/>
      <w:divBdr>
        <w:top w:val="none" w:sz="0" w:space="0" w:color="auto"/>
        <w:left w:val="none" w:sz="0" w:space="0" w:color="auto"/>
        <w:bottom w:val="none" w:sz="0" w:space="0" w:color="auto"/>
        <w:right w:val="none" w:sz="0" w:space="0" w:color="auto"/>
      </w:divBdr>
    </w:div>
    <w:div w:id="817461049">
      <w:bodyDiv w:val="1"/>
      <w:marLeft w:val="0"/>
      <w:marRight w:val="0"/>
      <w:marTop w:val="0"/>
      <w:marBottom w:val="0"/>
      <w:divBdr>
        <w:top w:val="none" w:sz="0" w:space="0" w:color="auto"/>
        <w:left w:val="none" w:sz="0" w:space="0" w:color="auto"/>
        <w:bottom w:val="none" w:sz="0" w:space="0" w:color="auto"/>
        <w:right w:val="none" w:sz="0" w:space="0" w:color="auto"/>
      </w:divBdr>
    </w:div>
    <w:div w:id="827982148">
      <w:bodyDiv w:val="1"/>
      <w:marLeft w:val="0"/>
      <w:marRight w:val="0"/>
      <w:marTop w:val="0"/>
      <w:marBottom w:val="0"/>
      <w:divBdr>
        <w:top w:val="none" w:sz="0" w:space="0" w:color="auto"/>
        <w:left w:val="none" w:sz="0" w:space="0" w:color="auto"/>
        <w:bottom w:val="none" w:sz="0" w:space="0" w:color="auto"/>
        <w:right w:val="none" w:sz="0" w:space="0" w:color="auto"/>
      </w:divBdr>
    </w:div>
    <w:div w:id="843514813">
      <w:bodyDiv w:val="1"/>
      <w:marLeft w:val="0"/>
      <w:marRight w:val="0"/>
      <w:marTop w:val="0"/>
      <w:marBottom w:val="0"/>
      <w:divBdr>
        <w:top w:val="none" w:sz="0" w:space="0" w:color="auto"/>
        <w:left w:val="none" w:sz="0" w:space="0" w:color="auto"/>
        <w:bottom w:val="none" w:sz="0" w:space="0" w:color="auto"/>
        <w:right w:val="none" w:sz="0" w:space="0" w:color="auto"/>
      </w:divBdr>
    </w:div>
    <w:div w:id="850606930">
      <w:bodyDiv w:val="1"/>
      <w:marLeft w:val="0"/>
      <w:marRight w:val="0"/>
      <w:marTop w:val="0"/>
      <w:marBottom w:val="0"/>
      <w:divBdr>
        <w:top w:val="none" w:sz="0" w:space="0" w:color="auto"/>
        <w:left w:val="none" w:sz="0" w:space="0" w:color="auto"/>
        <w:bottom w:val="none" w:sz="0" w:space="0" w:color="auto"/>
        <w:right w:val="none" w:sz="0" w:space="0" w:color="auto"/>
      </w:divBdr>
    </w:div>
    <w:div w:id="859659756">
      <w:bodyDiv w:val="1"/>
      <w:marLeft w:val="0"/>
      <w:marRight w:val="0"/>
      <w:marTop w:val="0"/>
      <w:marBottom w:val="0"/>
      <w:divBdr>
        <w:top w:val="none" w:sz="0" w:space="0" w:color="auto"/>
        <w:left w:val="none" w:sz="0" w:space="0" w:color="auto"/>
        <w:bottom w:val="none" w:sz="0" w:space="0" w:color="auto"/>
        <w:right w:val="none" w:sz="0" w:space="0" w:color="auto"/>
      </w:divBdr>
      <w:divsChild>
        <w:div w:id="1571423275">
          <w:marLeft w:val="547"/>
          <w:marRight w:val="0"/>
          <w:marTop w:val="115"/>
          <w:marBottom w:val="0"/>
          <w:divBdr>
            <w:top w:val="none" w:sz="0" w:space="0" w:color="auto"/>
            <w:left w:val="none" w:sz="0" w:space="0" w:color="auto"/>
            <w:bottom w:val="none" w:sz="0" w:space="0" w:color="auto"/>
            <w:right w:val="none" w:sz="0" w:space="0" w:color="auto"/>
          </w:divBdr>
        </w:div>
        <w:div w:id="2090761119">
          <w:marLeft w:val="547"/>
          <w:marRight w:val="0"/>
          <w:marTop w:val="115"/>
          <w:marBottom w:val="0"/>
          <w:divBdr>
            <w:top w:val="none" w:sz="0" w:space="0" w:color="auto"/>
            <w:left w:val="none" w:sz="0" w:space="0" w:color="auto"/>
            <w:bottom w:val="none" w:sz="0" w:space="0" w:color="auto"/>
            <w:right w:val="none" w:sz="0" w:space="0" w:color="auto"/>
          </w:divBdr>
        </w:div>
      </w:divsChild>
    </w:div>
    <w:div w:id="890189463">
      <w:bodyDiv w:val="1"/>
      <w:marLeft w:val="0"/>
      <w:marRight w:val="0"/>
      <w:marTop w:val="0"/>
      <w:marBottom w:val="0"/>
      <w:divBdr>
        <w:top w:val="none" w:sz="0" w:space="0" w:color="auto"/>
        <w:left w:val="none" w:sz="0" w:space="0" w:color="auto"/>
        <w:bottom w:val="none" w:sz="0" w:space="0" w:color="auto"/>
        <w:right w:val="none" w:sz="0" w:space="0" w:color="auto"/>
      </w:divBdr>
    </w:div>
    <w:div w:id="900605272">
      <w:bodyDiv w:val="1"/>
      <w:marLeft w:val="0"/>
      <w:marRight w:val="0"/>
      <w:marTop w:val="0"/>
      <w:marBottom w:val="0"/>
      <w:divBdr>
        <w:top w:val="none" w:sz="0" w:space="0" w:color="auto"/>
        <w:left w:val="none" w:sz="0" w:space="0" w:color="auto"/>
        <w:bottom w:val="none" w:sz="0" w:space="0" w:color="auto"/>
        <w:right w:val="none" w:sz="0" w:space="0" w:color="auto"/>
      </w:divBdr>
    </w:div>
    <w:div w:id="977995770">
      <w:bodyDiv w:val="1"/>
      <w:marLeft w:val="0"/>
      <w:marRight w:val="0"/>
      <w:marTop w:val="0"/>
      <w:marBottom w:val="0"/>
      <w:divBdr>
        <w:top w:val="none" w:sz="0" w:space="0" w:color="auto"/>
        <w:left w:val="none" w:sz="0" w:space="0" w:color="auto"/>
        <w:bottom w:val="none" w:sz="0" w:space="0" w:color="auto"/>
        <w:right w:val="none" w:sz="0" w:space="0" w:color="auto"/>
      </w:divBdr>
    </w:div>
    <w:div w:id="984972988">
      <w:bodyDiv w:val="1"/>
      <w:marLeft w:val="0"/>
      <w:marRight w:val="0"/>
      <w:marTop w:val="0"/>
      <w:marBottom w:val="0"/>
      <w:divBdr>
        <w:top w:val="none" w:sz="0" w:space="0" w:color="auto"/>
        <w:left w:val="none" w:sz="0" w:space="0" w:color="auto"/>
        <w:bottom w:val="none" w:sz="0" w:space="0" w:color="auto"/>
        <w:right w:val="none" w:sz="0" w:space="0" w:color="auto"/>
      </w:divBdr>
    </w:div>
    <w:div w:id="1015766756">
      <w:bodyDiv w:val="1"/>
      <w:marLeft w:val="0"/>
      <w:marRight w:val="0"/>
      <w:marTop w:val="0"/>
      <w:marBottom w:val="0"/>
      <w:divBdr>
        <w:top w:val="none" w:sz="0" w:space="0" w:color="auto"/>
        <w:left w:val="none" w:sz="0" w:space="0" w:color="auto"/>
        <w:bottom w:val="none" w:sz="0" w:space="0" w:color="auto"/>
        <w:right w:val="none" w:sz="0" w:space="0" w:color="auto"/>
      </w:divBdr>
    </w:div>
    <w:div w:id="1089933513">
      <w:bodyDiv w:val="1"/>
      <w:marLeft w:val="0"/>
      <w:marRight w:val="0"/>
      <w:marTop w:val="0"/>
      <w:marBottom w:val="0"/>
      <w:divBdr>
        <w:top w:val="none" w:sz="0" w:space="0" w:color="auto"/>
        <w:left w:val="none" w:sz="0" w:space="0" w:color="auto"/>
        <w:bottom w:val="none" w:sz="0" w:space="0" w:color="auto"/>
        <w:right w:val="none" w:sz="0" w:space="0" w:color="auto"/>
      </w:divBdr>
    </w:div>
    <w:div w:id="1100415779">
      <w:bodyDiv w:val="1"/>
      <w:marLeft w:val="0"/>
      <w:marRight w:val="0"/>
      <w:marTop w:val="0"/>
      <w:marBottom w:val="0"/>
      <w:divBdr>
        <w:top w:val="none" w:sz="0" w:space="0" w:color="auto"/>
        <w:left w:val="none" w:sz="0" w:space="0" w:color="auto"/>
        <w:bottom w:val="none" w:sz="0" w:space="0" w:color="auto"/>
        <w:right w:val="none" w:sz="0" w:space="0" w:color="auto"/>
      </w:divBdr>
    </w:div>
    <w:div w:id="1131825062">
      <w:bodyDiv w:val="1"/>
      <w:marLeft w:val="0"/>
      <w:marRight w:val="0"/>
      <w:marTop w:val="0"/>
      <w:marBottom w:val="0"/>
      <w:divBdr>
        <w:top w:val="none" w:sz="0" w:space="0" w:color="auto"/>
        <w:left w:val="none" w:sz="0" w:space="0" w:color="auto"/>
        <w:bottom w:val="none" w:sz="0" w:space="0" w:color="auto"/>
        <w:right w:val="none" w:sz="0" w:space="0" w:color="auto"/>
      </w:divBdr>
    </w:div>
    <w:div w:id="1143502306">
      <w:bodyDiv w:val="1"/>
      <w:marLeft w:val="0"/>
      <w:marRight w:val="0"/>
      <w:marTop w:val="0"/>
      <w:marBottom w:val="0"/>
      <w:divBdr>
        <w:top w:val="none" w:sz="0" w:space="0" w:color="auto"/>
        <w:left w:val="none" w:sz="0" w:space="0" w:color="auto"/>
        <w:bottom w:val="none" w:sz="0" w:space="0" w:color="auto"/>
        <w:right w:val="none" w:sz="0" w:space="0" w:color="auto"/>
      </w:divBdr>
      <w:divsChild>
        <w:div w:id="19359636">
          <w:marLeft w:val="547"/>
          <w:marRight w:val="0"/>
          <w:marTop w:val="115"/>
          <w:marBottom w:val="0"/>
          <w:divBdr>
            <w:top w:val="none" w:sz="0" w:space="0" w:color="auto"/>
            <w:left w:val="none" w:sz="0" w:space="0" w:color="auto"/>
            <w:bottom w:val="none" w:sz="0" w:space="0" w:color="auto"/>
            <w:right w:val="none" w:sz="0" w:space="0" w:color="auto"/>
          </w:divBdr>
        </w:div>
        <w:div w:id="2017926900">
          <w:marLeft w:val="547"/>
          <w:marRight w:val="0"/>
          <w:marTop w:val="115"/>
          <w:marBottom w:val="0"/>
          <w:divBdr>
            <w:top w:val="none" w:sz="0" w:space="0" w:color="auto"/>
            <w:left w:val="none" w:sz="0" w:space="0" w:color="auto"/>
            <w:bottom w:val="none" w:sz="0" w:space="0" w:color="auto"/>
            <w:right w:val="none" w:sz="0" w:space="0" w:color="auto"/>
          </w:divBdr>
        </w:div>
      </w:divsChild>
    </w:div>
    <w:div w:id="1189565230">
      <w:bodyDiv w:val="1"/>
      <w:marLeft w:val="0"/>
      <w:marRight w:val="0"/>
      <w:marTop w:val="0"/>
      <w:marBottom w:val="0"/>
      <w:divBdr>
        <w:top w:val="none" w:sz="0" w:space="0" w:color="auto"/>
        <w:left w:val="none" w:sz="0" w:space="0" w:color="auto"/>
        <w:bottom w:val="none" w:sz="0" w:space="0" w:color="auto"/>
        <w:right w:val="none" w:sz="0" w:space="0" w:color="auto"/>
      </w:divBdr>
      <w:divsChild>
        <w:div w:id="1016931113">
          <w:marLeft w:val="547"/>
          <w:marRight w:val="0"/>
          <w:marTop w:val="115"/>
          <w:marBottom w:val="0"/>
          <w:divBdr>
            <w:top w:val="none" w:sz="0" w:space="0" w:color="auto"/>
            <w:left w:val="none" w:sz="0" w:space="0" w:color="auto"/>
            <w:bottom w:val="none" w:sz="0" w:space="0" w:color="auto"/>
            <w:right w:val="none" w:sz="0" w:space="0" w:color="auto"/>
          </w:divBdr>
        </w:div>
        <w:div w:id="1111818772">
          <w:marLeft w:val="547"/>
          <w:marRight w:val="0"/>
          <w:marTop w:val="115"/>
          <w:marBottom w:val="0"/>
          <w:divBdr>
            <w:top w:val="none" w:sz="0" w:space="0" w:color="auto"/>
            <w:left w:val="none" w:sz="0" w:space="0" w:color="auto"/>
            <w:bottom w:val="none" w:sz="0" w:space="0" w:color="auto"/>
            <w:right w:val="none" w:sz="0" w:space="0" w:color="auto"/>
          </w:divBdr>
        </w:div>
        <w:div w:id="1634871744">
          <w:marLeft w:val="547"/>
          <w:marRight w:val="0"/>
          <w:marTop w:val="115"/>
          <w:marBottom w:val="0"/>
          <w:divBdr>
            <w:top w:val="none" w:sz="0" w:space="0" w:color="auto"/>
            <w:left w:val="none" w:sz="0" w:space="0" w:color="auto"/>
            <w:bottom w:val="none" w:sz="0" w:space="0" w:color="auto"/>
            <w:right w:val="none" w:sz="0" w:space="0" w:color="auto"/>
          </w:divBdr>
        </w:div>
      </w:divsChild>
    </w:div>
    <w:div w:id="1192720063">
      <w:bodyDiv w:val="1"/>
      <w:marLeft w:val="0"/>
      <w:marRight w:val="0"/>
      <w:marTop w:val="0"/>
      <w:marBottom w:val="0"/>
      <w:divBdr>
        <w:top w:val="none" w:sz="0" w:space="0" w:color="auto"/>
        <w:left w:val="none" w:sz="0" w:space="0" w:color="auto"/>
        <w:bottom w:val="none" w:sz="0" w:space="0" w:color="auto"/>
        <w:right w:val="none" w:sz="0" w:space="0" w:color="auto"/>
      </w:divBdr>
    </w:div>
    <w:div w:id="1397894415">
      <w:bodyDiv w:val="1"/>
      <w:marLeft w:val="0"/>
      <w:marRight w:val="0"/>
      <w:marTop w:val="0"/>
      <w:marBottom w:val="0"/>
      <w:divBdr>
        <w:top w:val="none" w:sz="0" w:space="0" w:color="auto"/>
        <w:left w:val="none" w:sz="0" w:space="0" w:color="auto"/>
        <w:bottom w:val="none" w:sz="0" w:space="0" w:color="auto"/>
        <w:right w:val="none" w:sz="0" w:space="0" w:color="auto"/>
      </w:divBdr>
    </w:div>
    <w:div w:id="1509099405">
      <w:bodyDiv w:val="1"/>
      <w:marLeft w:val="0"/>
      <w:marRight w:val="0"/>
      <w:marTop w:val="0"/>
      <w:marBottom w:val="0"/>
      <w:divBdr>
        <w:top w:val="none" w:sz="0" w:space="0" w:color="auto"/>
        <w:left w:val="none" w:sz="0" w:space="0" w:color="auto"/>
        <w:bottom w:val="none" w:sz="0" w:space="0" w:color="auto"/>
        <w:right w:val="none" w:sz="0" w:space="0" w:color="auto"/>
      </w:divBdr>
    </w:div>
    <w:div w:id="1532189141">
      <w:bodyDiv w:val="1"/>
      <w:marLeft w:val="0"/>
      <w:marRight w:val="0"/>
      <w:marTop w:val="0"/>
      <w:marBottom w:val="0"/>
      <w:divBdr>
        <w:top w:val="none" w:sz="0" w:space="0" w:color="auto"/>
        <w:left w:val="none" w:sz="0" w:space="0" w:color="auto"/>
        <w:bottom w:val="none" w:sz="0" w:space="0" w:color="auto"/>
        <w:right w:val="none" w:sz="0" w:space="0" w:color="auto"/>
      </w:divBdr>
    </w:div>
    <w:div w:id="1594818606">
      <w:bodyDiv w:val="1"/>
      <w:marLeft w:val="0"/>
      <w:marRight w:val="0"/>
      <w:marTop w:val="0"/>
      <w:marBottom w:val="0"/>
      <w:divBdr>
        <w:top w:val="none" w:sz="0" w:space="0" w:color="auto"/>
        <w:left w:val="none" w:sz="0" w:space="0" w:color="auto"/>
        <w:bottom w:val="none" w:sz="0" w:space="0" w:color="auto"/>
        <w:right w:val="none" w:sz="0" w:space="0" w:color="auto"/>
      </w:divBdr>
    </w:div>
    <w:div w:id="1761873377">
      <w:bodyDiv w:val="1"/>
      <w:marLeft w:val="0"/>
      <w:marRight w:val="0"/>
      <w:marTop w:val="0"/>
      <w:marBottom w:val="0"/>
      <w:divBdr>
        <w:top w:val="none" w:sz="0" w:space="0" w:color="auto"/>
        <w:left w:val="none" w:sz="0" w:space="0" w:color="auto"/>
        <w:bottom w:val="none" w:sz="0" w:space="0" w:color="auto"/>
        <w:right w:val="none" w:sz="0" w:space="0" w:color="auto"/>
      </w:divBdr>
    </w:div>
    <w:div w:id="1792358409">
      <w:bodyDiv w:val="1"/>
      <w:marLeft w:val="0"/>
      <w:marRight w:val="0"/>
      <w:marTop w:val="0"/>
      <w:marBottom w:val="0"/>
      <w:divBdr>
        <w:top w:val="none" w:sz="0" w:space="0" w:color="auto"/>
        <w:left w:val="none" w:sz="0" w:space="0" w:color="auto"/>
        <w:bottom w:val="none" w:sz="0" w:space="0" w:color="auto"/>
        <w:right w:val="none" w:sz="0" w:space="0" w:color="auto"/>
      </w:divBdr>
    </w:div>
    <w:div w:id="1871063673">
      <w:bodyDiv w:val="1"/>
      <w:marLeft w:val="0"/>
      <w:marRight w:val="0"/>
      <w:marTop w:val="0"/>
      <w:marBottom w:val="0"/>
      <w:divBdr>
        <w:top w:val="none" w:sz="0" w:space="0" w:color="auto"/>
        <w:left w:val="none" w:sz="0" w:space="0" w:color="auto"/>
        <w:bottom w:val="none" w:sz="0" w:space="0" w:color="auto"/>
        <w:right w:val="none" w:sz="0" w:space="0" w:color="auto"/>
      </w:divBdr>
    </w:div>
    <w:div w:id="1891261049">
      <w:bodyDiv w:val="1"/>
      <w:marLeft w:val="0"/>
      <w:marRight w:val="0"/>
      <w:marTop w:val="0"/>
      <w:marBottom w:val="0"/>
      <w:divBdr>
        <w:top w:val="none" w:sz="0" w:space="0" w:color="auto"/>
        <w:left w:val="none" w:sz="0" w:space="0" w:color="auto"/>
        <w:bottom w:val="none" w:sz="0" w:space="0" w:color="auto"/>
        <w:right w:val="none" w:sz="0" w:space="0" w:color="auto"/>
      </w:divBdr>
    </w:div>
    <w:div w:id="2008046249">
      <w:bodyDiv w:val="1"/>
      <w:marLeft w:val="0"/>
      <w:marRight w:val="0"/>
      <w:marTop w:val="0"/>
      <w:marBottom w:val="0"/>
      <w:divBdr>
        <w:top w:val="none" w:sz="0" w:space="0" w:color="auto"/>
        <w:left w:val="none" w:sz="0" w:space="0" w:color="auto"/>
        <w:bottom w:val="none" w:sz="0" w:space="0" w:color="auto"/>
        <w:right w:val="none" w:sz="0" w:space="0" w:color="auto"/>
      </w:divBdr>
    </w:div>
    <w:div w:id="2009211430">
      <w:bodyDiv w:val="1"/>
      <w:marLeft w:val="0"/>
      <w:marRight w:val="0"/>
      <w:marTop w:val="0"/>
      <w:marBottom w:val="0"/>
      <w:divBdr>
        <w:top w:val="none" w:sz="0" w:space="0" w:color="auto"/>
        <w:left w:val="none" w:sz="0" w:space="0" w:color="auto"/>
        <w:bottom w:val="none" w:sz="0" w:space="0" w:color="auto"/>
        <w:right w:val="none" w:sz="0" w:space="0" w:color="auto"/>
      </w:divBdr>
    </w:div>
    <w:div w:id="2060476340">
      <w:bodyDiv w:val="1"/>
      <w:marLeft w:val="0"/>
      <w:marRight w:val="0"/>
      <w:marTop w:val="0"/>
      <w:marBottom w:val="0"/>
      <w:divBdr>
        <w:top w:val="none" w:sz="0" w:space="0" w:color="auto"/>
        <w:left w:val="none" w:sz="0" w:space="0" w:color="auto"/>
        <w:bottom w:val="none" w:sz="0" w:space="0" w:color="auto"/>
        <w:right w:val="none" w:sz="0" w:space="0" w:color="auto"/>
      </w:divBdr>
    </w:div>
    <w:div w:id="2119762245">
      <w:bodyDiv w:val="1"/>
      <w:marLeft w:val="0"/>
      <w:marRight w:val="0"/>
      <w:marTop w:val="0"/>
      <w:marBottom w:val="0"/>
      <w:divBdr>
        <w:top w:val="none" w:sz="0" w:space="0" w:color="auto"/>
        <w:left w:val="none" w:sz="0" w:space="0" w:color="auto"/>
        <w:bottom w:val="none" w:sz="0" w:space="0" w:color="auto"/>
        <w:right w:val="none" w:sz="0" w:space="0" w:color="auto"/>
      </w:divBdr>
    </w:div>
    <w:div w:id="2133404460">
      <w:bodyDiv w:val="1"/>
      <w:marLeft w:val="0"/>
      <w:marRight w:val="0"/>
      <w:marTop w:val="0"/>
      <w:marBottom w:val="0"/>
      <w:divBdr>
        <w:top w:val="none" w:sz="0" w:space="0" w:color="auto"/>
        <w:left w:val="none" w:sz="0" w:space="0" w:color="auto"/>
        <w:bottom w:val="none" w:sz="0" w:space="0" w:color="auto"/>
        <w:right w:val="none" w:sz="0" w:space="0" w:color="auto"/>
      </w:divBdr>
    </w:div>
    <w:div w:id="2136630875">
      <w:bodyDiv w:val="1"/>
      <w:marLeft w:val="0"/>
      <w:marRight w:val="0"/>
      <w:marTop w:val="0"/>
      <w:marBottom w:val="0"/>
      <w:divBdr>
        <w:top w:val="none" w:sz="0" w:space="0" w:color="auto"/>
        <w:left w:val="none" w:sz="0" w:space="0" w:color="auto"/>
        <w:bottom w:val="none" w:sz="0" w:space="0" w:color="auto"/>
        <w:right w:val="none" w:sz="0" w:space="0" w:color="auto"/>
      </w:divBdr>
      <w:divsChild>
        <w:div w:id="1032877694">
          <w:marLeft w:val="547"/>
          <w:marRight w:val="0"/>
          <w:marTop w:val="115"/>
          <w:marBottom w:val="0"/>
          <w:divBdr>
            <w:top w:val="none" w:sz="0" w:space="0" w:color="auto"/>
            <w:left w:val="none" w:sz="0" w:space="0" w:color="auto"/>
            <w:bottom w:val="none" w:sz="0" w:space="0" w:color="auto"/>
            <w:right w:val="none" w:sz="0" w:space="0" w:color="auto"/>
          </w:divBdr>
        </w:div>
        <w:div w:id="194178960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D421B6-58E6-4B1F-B025-DF22B42E8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4119</TotalTime>
  <Pages>30</Pages>
  <Words>6083</Words>
  <Characters>34679</Characters>
  <Application>Microsoft Office Word</Application>
  <DocSecurity>0</DocSecurity>
  <Lines>288</Lines>
  <Paragraphs>81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40681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CV-K85</dc:creator>
  <cp:lastModifiedBy>Surface Pro 3</cp:lastModifiedBy>
  <cp:revision>214</cp:revision>
  <cp:lastPrinted>2025-02-09T01:15:00Z</cp:lastPrinted>
  <dcterms:created xsi:type="dcterms:W3CDTF">2023-08-04T07:45:00Z</dcterms:created>
  <dcterms:modified xsi:type="dcterms:W3CDTF">2026-05-23T02:50:00Z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9d09407d-57af-450a-bb79-36b6d3d862b8</vt:lpwstr>
  </property>
</Properties>
</file>